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6DA4" w14:textId="77777777" w:rsidR="003F5C77" w:rsidRPr="00EA2C20" w:rsidRDefault="003F5C77" w:rsidP="003F5C77">
      <w:pPr>
        <w:jc w:val="both"/>
        <w:rPr>
          <w:rFonts w:ascii="Cambria" w:hAnsi="Cambria"/>
          <w:b/>
          <w:bCs/>
          <w:sz w:val="48"/>
          <w:szCs w:val="48"/>
        </w:rPr>
      </w:pPr>
      <w:r w:rsidRPr="00EA2C20">
        <w:rPr>
          <w:rFonts w:ascii="Cambria" w:hAnsi="Cambria"/>
          <w:b/>
          <w:bCs/>
          <w:sz w:val="48"/>
          <w:szCs w:val="48"/>
        </w:rPr>
        <w:t>Expository Canonical Explanation of the Obidi Convention and Obidi Calculus — Side Notes to the Mathematical Letter IV of the Theory of Entropicity (ToE): An Introduction to the Mathematical Theory and Core Concepts of ToE</w:t>
      </w:r>
    </w:p>
    <w:p w14:paraId="0A43F6E9" w14:textId="77777777" w:rsidR="003F5C77" w:rsidRPr="00EA2C20" w:rsidRDefault="003F5C77" w:rsidP="003F5C77">
      <w:pPr>
        <w:jc w:val="both"/>
        <w:rPr>
          <w:rFonts w:ascii="Cambria" w:hAnsi="Cambria"/>
          <w:b/>
          <w:bCs/>
          <w:sz w:val="48"/>
          <w:szCs w:val="48"/>
        </w:rPr>
      </w:pPr>
      <w:r w:rsidRPr="00EA2C20">
        <w:rPr>
          <w:rFonts w:ascii="Cambria" w:hAnsi="Cambria"/>
          <w:b/>
          <w:bCs/>
          <w:sz w:val="48"/>
          <w:szCs w:val="48"/>
        </w:rPr>
        <w:t>Keywords:</w:t>
      </w:r>
    </w:p>
    <w:p w14:paraId="6C640350" w14:textId="77777777" w:rsidR="003F5C77" w:rsidRPr="003F5C77" w:rsidRDefault="003F5C77" w:rsidP="003F5C77">
      <w:pPr>
        <w:jc w:val="both"/>
        <w:rPr>
          <w:rFonts w:ascii="Constantia" w:hAnsi="Constantia"/>
        </w:rPr>
      </w:pPr>
      <w:r w:rsidRPr="003F5C77">
        <w:rPr>
          <w:rFonts w:ascii="Constantia" w:hAnsi="Constantia"/>
          <w:b/>
          <w:bCs/>
        </w:rPr>
        <w:t>Obidi Convention, Obidi Calculus, Einstein-Obidi Convention, Einstein-Obidi Calculus, Obidi Fraktur Index, Operator Product Compactification, Obidi’s Hierarchical Indices, Obidi's Primary Index Notations (OPIN), Obidi's Secondary Index Notations (OSIN)</w:t>
      </w:r>
    </w:p>
    <w:p w14:paraId="53DFF684" w14:textId="77777777" w:rsidR="003F5C77" w:rsidRPr="00EA2C20" w:rsidRDefault="003F5C77" w:rsidP="003F5C77">
      <w:pPr>
        <w:jc w:val="both"/>
        <w:rPr>
          <w:rFonts w:ascii="Cambria" w:hAnsi="Cambria"/>
          <w:b/>
          <w:bCs/>
          <w:sz w:val="48"/>
          <w:szCs w:val="48"/>
        </w:rPr>
      </w:pPr>
      <w:r w:rsidRPr="00EA2C20">
        <w:rPr>
          <w:rFonts w:ascii="Cambria" w:hAnsi="Cambria"/>
          <w:b/>
          <w:bCs/>
          <w:sz w:val="48"/>
          <w:szCs w:val="48"/>
        </w:rPr>
        <w:t>Preamble</w:t>
      </w:r>
    </w:p>
    <w:p w14:paraId="520119DE" w14:textId="77777777" w:rsidR="003F5C77" w:rsidRDefault="003F5C77" w:rsidP="003F5C77">
      <w:pPr>
        <w:jc w:val="both"/>
        <w:rPr>
          <w:rFonts w:ascii="Constantia" w:hAnsi="Constantia"/>
        </w:rPr>
      </w:pPr>
      <w:r w:rsidRPr="003F5C77">
        <w:rPr>
          <w:rFonts w:ascii="Constantia" w:hAnsi="Constantia"/>
        </w:rPr>
        <w:t>The Obidi Convention introduces a hierarchical index system where each classical tensor index (the primary index) carries its own secondary index that labels the geometric sector—Fisher–Rao, Fubini–Study, or Lorentzian—from which that component arises. The Obidi Calculus then defines how these hierarchical indices evaluate: free indices expand as double sums (Addition Rule), while dotted indices expand as double products (Multiplication Rule). Together with the Einstein summation convention, this yields the Einstein–Obidi Calculus, a complete notational and computational framework capable of expressing the multi</w:t>
      </w:r>
      <w:r w:rsidRPr="003F5C77">
        <w:rPr>
          <w:rFonts w:ascii="Constantia" w:hAnsi="Constantia"/>
        </w:rPr>
        <w:noBreakHyphen/>
        <w:t>sector tensor structures of the Hybrid Metric</w:t>
      </w:r>
      <w:r w:rsidRPr="003F5C77">
        <w:rPr>
          <w:rFonts w:ascii="Constantia" w:hAnsi="Constantia"/>
        </w:rPr>
        <w:noBreakHyphen/>
        <w:t>Affine Space (HMAS) at the heart of the Theory of Entropicity (ToE).</w:t>
      </w:r>
    </w:p>
    <w:p w14:paraId="4CFFA625" w14:textId="77777777" w:rsidR="00D03DF2" w:rsidRDefault="00D03DF2" w:rsidP="003F5C77">
      <w:pPr>
        <w:jc w:val="both"/>
        <w:rPr>
          <w:rFonts w:ascii="Constantia" w:hAnsi="Constantia"/>
        </w:rPr>
      </w:pPr>
    </w:p>
    <w:p w14:paraId="383F6080" w14:textId="77777777" w:rsidR="00D03DF2" w:rsidRPr="003F5C77" w:rsidRDefault="00D03DF2" w:rsidP="003F5C77">
      <w:pPr>
        <w:jc w:val="both"/>
        <w:rPr>
          <w:rFonts w:ascii="Constantia" w:hAnsi="Constantia"/>
        </w:rPr>
      </w:pPr>
    </w:p>
    <w:p w14:paraId="0F4A336A" w14:textId="77777777" w:rsidR="003F5C77" w:rsidRPr="003F5C77" w:rsidRDefault="003F5C77" w:rsidP="003F5C77">
      <w:pPr>
        <w:jc w:val="both"/>
        <w:rPr>
          <w:rFonts w:ascii="Constantia" w:hAnsi="Constantia"/>
        </w:rPr>
      </w:pPr>
    </w:p>
    <w:p w14:paraId="2CA33436" w14:textId="77777777" w:rsidR="003F5C77" w:rsidRPr="00EA2C20" w:rsidRDefault="003F5C77" w:rsidP="003F5C77">
      <w:pPr>
        <w:jc w:val="both"/>
        <w:rPr>
          <w:rFonts w:ascii="Cambria" w:hAnsi="Cambria"/>
          <w:b/>
          <w:bCs/>
          <w:sz w:val="48"/>
          <w:szCs w:val="48"/>
        </w:rPr>
      </w:pPr>
      <w:r w:rsidRPr="00EA2C20">
        <w:rPr>
          <w:rFonts w:ascii="Cambria" w:hAnsi="Cambria"/>
          <w:b/>
          <w:bCs/>
          <w:sz w:val="48"/>
          <w:szCs w:val="48"/>
        </w:rPr>
        <w:lastRenderedPageBreak/>
        <w:t>Clarificatory Notes</w:t>
      </w:r>
    </w:p>
    <w:p w14:paraId="0C16D922" w14:textId="77777777" w:rsidR="003F5C77" w:rsidRPr="003F5C77" w:rsidRDefault="003F5C77" w:rsidP="003F5C77">
      <w:pPr>
        <w:jc w:val="both"/>
        <w:rPr>
          <w:rFonts w:ascii="Constantia" w:hAnsi="Constantia"/>
        </w:rPr>
      </w:pPr>
      <w:r w:rsidRPr="003F5C77">
        <w:rPr>
          <w:rFonts w:ascii="Constantia" w:hAnsi="Constantia"/>
        </w:rPr>
        <w:t xml:space="preserve">To facilitate and motivate the mathematics used in the </w:t>
      </w:r>
      <w:r w:rsidRPr="003F5C77">
        <w:rPr>
          <w:rFonts w:ascii="Constantia" w:hAnsi="Constantia"/>
          <w:b/>
          <w:bCs/>
        </w:rPr>
        <w:t>Theory of Entropicity (ToE)</w:t>
      </w:r>
      <w:r w:rsidRPr="003F5C77">
        <w:rPr>
          <w:rFonts w:ascii="Constantia" w:hAnsi="Constantia"/>
        </w:rPr>
        <w:t xml:space="preserve">, we have introduced a suite of conceptual and notational tools that make the structure of the theory visible, tractable, and computationally coherent. These tools — the </w:t>
      </w:r>
      <w:r w:rsidRPr="003F5C77">
        <w:rPr>
          <w:rFonts w:ascii="Constantia" w:hAnsi="Constantia"/>
          <w:b/>
          <w:bCs/>
        </w:rPr>
        <w:t>Obidi Convention</w:t>
      </w:r>
      <w:r w:rsidRPr="003F5C77">
        <w:rPr>
          <w:rFonts w:ascii="Constantia" w:hAnsi="Constantia"/>
        </w:rPr>
        <w:t>, the O</w:t>
      </w:r>
      <w:r w:rsidRPr="003F5C77">
        <w:rPr>
          <w:rFonts w:ascii="Constantia" w:hAnsi="Constantia"/>
          <w:b/>
          <w:bCs/>
        </w:rPr>
        <w:t>bidi Calculus</w:t>
      </w:r>
      <w:r w:rsidRPr="003F5C77">
        <w:rPr>
          <w:rFonts w:ascii="Constantia" w:hAnsi="Constantia"/>
        </w:rPr>
        <w:t xml:space="preserve">, the </w:t>
      </w:r>
      <w:r w:rsidRPr="003F5C77">
        <w:rPr>
          <w:rFonts w:ascii="Constantia" w:hAnsi="Constantia"/>
          <w:b/>
          <w:bCs/>
        </w:rPr>
        <w:t>Einstein–Obidi Convention,</w:t>
      </w:r>
      <w:r w:rsidRPr="003F5C77">
        <w:rPr>
          <w:rFonts w:ascii="Constantia" w:hAnsi="Constantia"/>
        </w:rPr>
        <w:t xml:space="preserve"> the </w:t>
      </w:r>
      <w:r w:rsidRPr="003F5C77">
        <w:rPr>
          <w:rFonts w:ascii="Constantia" w:hAnsi="Constantia"/>
          <w:b/>
          <w:bCs/>
        </w:rPr>
        <w:t>Einstein–Obidi Calculus (EOC),</w:t>
      </w:r>
      <w:r w:rsidRPr="003F5C77">
        <w:rPr>
          <w:rFonts w:ascii="Constantia" w:hAnsi="Constantia"/>
        </w:rPr>
        <w:t xml:space="preserve"> the </w:t>
      </w:r>
      <w:r w:rsidRPr="003F5C77">
        <w:rPr>
          <w:rFonts w:ascii="Constantia" w:hAnsi="Constantia"/>
          <w:b/>
          <w:bCs/>
        </w:rPr>
        <w:t>Obidi Index</w:t>
      </w:r>
      <w:r w:rsidRPr="003F5C77">
        <w:rPr>
          <w:rFonts w:ascii="Constantia" w:hAnsi="Constantia"/>
        </w:rPr>
        <w:t xml:space="preserve">, the </w:t>
      </w:r>
      <w:r w:rsidRPr="003F5C77">
        <w:rPr>
          <w:rFonts w:ascii="Constantia" w:hAnsi="Constantia"/>
          <w:b/>
          <w:bCs/>
        </w:rPr>
        <w:t>Obidi Fraktur Index (OFI)</w:t>
      </w:r>
      <w:r w:rsidRPr="003F5C77">
        <w:rPr>
          <w:rFonts w:ascii="Constantia" w:hAnsi="Constantia"/>
        </w:rPr>
        <w:t xml:space="preserve">, and the </w:t>
      </w:r>
      <w:r w:rsidRPr="003F5C77">
        <w:rPr>
          <w:rFonts w:ascii="Constantia" w:hAnsi="Constantia"/>
          <w:b/>
          <w:bCs/>
        </w:rPr>
        <w:t>Operator Product Compactification (OPC)</w:t>
      </w:r>
      <w:r w:rsidRPr="003F5C77">
        <w:rPr>
          <w:rFonts w:ascii="Constantia" w:hAnsi="Constantia"/>
        </w:rPr>
        <w:t xml:space="preserve"> of the </w:t>
      </w:r>
      <w:r w:rsidRPr="003F5C77">
        <w:rPr>
          <w:rFonts w:ascii="Constantia" w:hAnsi="Constantia"/>
          <w:b/>
          <w:bCs/>
        </w:rPr>
        <w:t>Euler–Lagrange Equations (ELE)</w:t>
      </w:r>
      <w:r w:rsidRPr="003F5C77">
        <w:rPr>
          <w:rFonts w:ascii="Constantia" w:hAnsi="Constantia"/>
        </w:rPr>
        <w:t xml:space="preserve"> — arise not from aesthetic preference but from structural necessity. The </w:t>
      </w:r>
      <w:r w:rsidRPr="003F5C77">
        <w:rPr>
          <w:rFonts w:ascii="Constantia" w:hAnsi="Constantia"/>
          <w:b/>
          <w:bCs/>
        </w:rPr>
        <w:t>Hybrid Metric</w:t>
      </w:r>
      <w:r w:rsidRPr="003F5C77">
        <w:rPr>
          <w:rFonts w:ascii="Constantia" w:hAnsi="Constantia"/>
          <w:b/>
          <w:bCs/>
        </w:rPr>
        <w:noBreakHyphen/>
        <w:t>Affine Space (HMAS)</w:t>
      </w:r>
      <w:r w:rsidRPr="003F5C77">
        <w:rPr>
          <w:rFonts w:ascii="Constantia" w:hAnsi="Constantia"/>
        </w:rPr>
        <w:t>, on which ToE is built, carries a richness of geometric content that cannot be expressed within the confines of classical tensor notation. The new tools provide the language in which the mathematics of Entropicity can be written faithfully.</w:t>
      </w:r>
    </w:p>
    <w:p w14:paraId="639494D6" w14:textId="77777777" w:rsidR="003F5C77" w:rsidRPr="003F5C77" w:rsidRDefault="003F5C77" w:rsidP="003F5C77">
      <w:pPr>
        <w:jc w:val="both"/>
        <w:rPr>
          <w:rFonts w:ascii="Constantia" w:hAnsi="Constantia"/>
        </w:rPr>
      </w:pPr>
      <w:r w:rsidRPr="003F5C77">
        <w:rPr>
          <w:rFonts w:ascii="Constantia" w:hAnsi="Constantia"/>
        </w:rPr>
        <w:t xml:space="preserve">The central innovation begins with the Obidi Convention. </w:t>
      </w:r>
      <w:r w:rsidRPr="003F5C77">
        <w:rPr>
          <w:rFonts w:ascii="Constantia" w:hAnsi="Constantia"/>
          <w:b/>
          <w:bCs/>
        </w:rPr>
        <w:t>Classical tensor calculus</w:t>
      </w:r>
      <w:r w:rsidRPr="003F5C77">
        <w:rPr>
          <w:rFonts w:ascii="Constantia" w:hAnsi="Constantia"/>
        </w:rPr>
        <w:t xml:space="preserve"> provides only a single level of indexing: an index attached directly to a tensor symbol, indicating covariance or contravariance and participating in Einstein summation. This single</w:t>
      </w:r>
      <w:r w:rsidRPr="003F5C77">
        <w:rPr>
          <w:rFonts w:ascii="Constantia" w:hAnsi="Constantia"/>
        </w:rPr>
        <w:noBreakHyphen/>
        <w:t xml:space="preserve">level system is adequate for theories in which each tensor component carries a single geometric meaning. The </w:t>
      </w:r>
      <w:r w:rsidRPr="003F5C77">
        <w:rPr>
          <w:rFonts w:ascii="Constantia" w:hAnsi="Constantia"/>
          <w:b/>
          <w:bCs/>
        </w:rPr>
        <w:t>HMAS</w:t>
      </w:r>
      <w:r w:rsidRPr="003F5C77">
        <w:rPr>
          <w:rFonts w:ascii="Constantia" w:hAnsi="Constantia"/>
        </w:rPr>
        <w:t xml:space="preserve"> of ToE, however, is not such a space. Each tensor component in HMAS simultaneously carries contributions from multiple geometric sectors — the </w:t>
      </w:r>
      <w:r w:rsidRPr="003F5C77">
        <w:rPr>
          <w:rFonts w:ascii="Constantia" w:hAnsi="Constantia"/>
          <w:b/>
          <w:bCs/>
        </w:rPr>
        <w:t>Fisher–Rao sector</w:t>
      </w:r>
      <w:r w:rsidRPr="003F5C77">
        <w:rPr>
          <w:rFonts w:ascii="Constantia" w:hAnsi="Constantia"/>
        </w:rPr>
        <w:t xml:space="preserve"> of classical information geometry, the </w:t>
      </w:r>
      <w:r w:rsidRPr="003F5C77">
        <w:rPr>
          <w:rFonts w:ascii="Constantia" w:hAnsi="Constantia"/>
          <w:b/>
          <w:bCs/>
        </w:rPr>
        <w:t xml:space="preserve">Fubini–Study sector </w:t>
      </w:r>
      <w:r w:rsidRPr="003F5C77">
        <w:rPr>
          <w:rFonts w:ascii="Constantia" w:hAnsi="Constantia"/>
        </w:rPr>
        <w:t xml:space="preserve">of </w:t>
      </w:r>
      <w:r w:rsidRPr="003F5C77">
        <w:rPr>
          <w:rFonts w:ascii="Constantia" w:hAnsi="Constantia"/>
          <w:b/>
          <w:bCs/>
        </w:rPr>
        <w:t>quantum geometry</w:t>
      </w:r>
      <w:r w:rsidRPr="003F5C77">
        <w:rPr>
          <w:rFonts w:ascii="Constantia" w:hAnsi="Constantia"/>
        </w:rPr>
        <w:t xml:space="preserve">, and the </w:t>
      </w:r>
      <w:r w:rsidRPr="003F5C77">
        <w:rPr>
          <w:rFonts w:ascii="Constantia" w:hAnsi="Constantia"/>
          <w:b/>
          <w:bCs/>
        </w:rPr>
        <w:t>Lorentzian sector</w:t>
      </w:r>
      <w:r w:rsidRPr="003F5C77">
        <w:rPr>
          <w:rFonts w:ascii="Constantia" w:hAnsi="Constantia"/>
        </w:rPr>
        <w:t xml:space="preserve"> of emergent spacetime geometry. These sectors coexist at every point of the manifold, and their contributions must be tracked independently. A single</w:t>
      </w:r>
      <w:r w:rsidRPr="003F5C77">
        <w:rPr>
          <w:rFonts w:ascii="Constantia" w:hAnsi="Constantia"/>
        </w:rPr>
        <w:noBreakHyphen/>
        <w:t>level index cannot encode this structure.</w:t>
      </w:r>
    </w:p>
    <w:p w14:paraId="561ECB61" w14:textId="77777777" w:rsidR="003F5C77" w:rsidRPr="003F5C77" w:rsidRDefault="003F5C77" w:rsidP="003F5C77">
      <w:pPr>
        <w:jc w:val="both"/>
        <w:rPr>
          <w:rFonts w:ascii="Constantia" w:hAnsi="Constantia"/>
        </w:rPr>
      </w:pPr>
      <w:r w:rsidRPr="003F5C77">
        <w:rPr>
          <w:rFonts w:ascii="Constantia" w:hAnsi="Constantia"/>
        </w:rPr>
        <w:t xml:space="preserve">The Obidi Convention resolves this by introducing a hierarchical index system. Each classical tensor index — the primary index — carries its own secondary index. The primary index continues to play its familiar role: it identifies the coordinate position of the component and determines whether the component is covariant or contravariant. The secondary index, however, is attached not to the tensor symbol but to the primary index itself. It labels the geometric sector from which that component arises. In this way, the notation makes visible what </w:t>
      </w:r>
      <w:proofErr w:type="gramStart"/>
      <w:r w:rsidRPr="003F5C77">
        <w:rPr>
          <w:rFonts w:ascii="Constantia" w:hAnsi="Constantia"/>
        </w:rPr>
        <w:t>the mathematics</w:t>
      </w:r>
      <w:proofErr w:type="gramEnd"/>
      <w:r w:rsidRPr="003F5C77">
        <w:rPr>
          <w:rFonts w:ascii="Constantia" w:hAnsi="Constantia"/>
        </w:rPr>
        <w:t xml:space="preserve"> demands: that a single tensor component in ToE is not a single geometric quantity but a structured object with multiple sector contributions.</w:t>
      </w:r>
    </w:p>
    <w:p w14:paraId="766D28D1" w14:textId="77777777" w:rsidR="003F5C77" w:rsidRPr="003F5C77" w:rsidRDefault="003F5C77" w:rsidP="003F5C77">
      <w:pPr>
        <w:jc w:val="both"/>
        <w:rPr>
          <w:rFonts w:ascii="Constantia" w:hAnsi="Constantia"/>
        </w:rPr>
      </w:pPr>
      <w:r w:rsidRPr="003F5C77">
        <w:rPr>
          <w:rFonts w:ascii="Constantia" w:hAnsi="Constantia"/>
        </w:rPr>
        <w:t xml:space="preserve">This hierarchical indexing is not merely a typographical flourish. It is a conceptual advance. It allows the reader to see, </w:t>
      </w:r>
      <w:proofErr w:type="gramStart"/>
      <w:r w:rsidRPr="003F5C77">
        <w:rPr>
          <w:rFonts w:ascii="Constantia" w:hAnsi="Constantia"/>
        </w:rPr>
        <w:t>at a glance</w:t>
      </w:r>
      <w:proofErr w:type="gramEnd"/>
      <w:r w:rsidRPr="003F5C77">
        <w:rPr>
          <w:rFonts w:ascii="Constantia" w:hAnsi="Constantia"/>
        </w:rPr>
        <w:t>, the full entropic</w:t>
      </w:r>
      <w:r w:rsidRPr="003F5C77">
        <w:rPr>
          <w:rFonts w:ascii="Constantia" w:hAnsi="Constantia"/>
        </w:rPr>
        <w:noBreakHyphen/>
        <w:t xml:space="preserve">geometric provenance of any component. It distinguishes, within a single tensor, the classical statistical contribution from </w:t>
      </w:r>
      <w:r w:rsidRPr="003F5C77">
        <w:rPr>
          <w:rFonts w:ascii="Constantia" w:hAnsi="Constantia"/>
        </w:rPr>
        <w:lastRenderedPageBreak/>
        <w:t>the quantum geometric contribution and the Lorentzian contribution. It makes explicit the multi</w:t>
      </w:r>
      <w:r w:rsidRPr="003F5C77">
        <w:rPr>
          <w:rFonts w:ascii="Constantia" w:hAnsi="Constantia"/>
        </w:rPr>
        <w:noBreakHyphen/>
        <w:t xml:space="preserve">sector architecture of the HMAS metric, the </w:t>
      </w:r>
      <w:r w:rsidRPr="003F5C77">
        <w:rPr>
          <w:rFonts w:ascii="Constantia" w:hAnsi="Constantia"/>
          <w:b/>
          <w:bCs/>
        </w:rPr>
        <w:t>Obidi Action</w:t>
      </w:r>
      <w:r w:rsidRPr="003F5C77">
        <w:rPr>
          <w:rFonts w:ascii="Constantia" w:hAnsi="Constantia"/>
        </w:rPr>
        <w:t xml:space="preserve">, and the </w:t>
      </w:r>
      <w:r w:rsidRPr="003F5C77">
        <w:rPr>
          <w:rFonts w:ascii="Constantia" w:hAnsi="Constantia"/>
          <w:b/>
          <w:bCs/>
        </w:rPr>
        <w:t>Obidi Field Equations (OFE).</w:t>
      </w:r>
      <w:r w:rsidRPr="003F5C77">
        <w:rPr>
          <w:rFonts w:ascii="Constantia" w:hAnsi="Constantia"/>
        </w:rPr>
        <w:t xml:space="preserve"> It is a notation that reveals structure rather than obscuring it.</w:t>
      </w:r>
    </w:p>
    <w:p w14:paraId="54C3DF4C" w14:textId="77777777" w:rsidR="003F5C77" w:rsidRPr="003F5C77" w:rsidRDefault="003F5C77" w:rsidP="003F5C77">
      <w:pPr>
        <w:jc w:val="both"/>
        <w:rPr>
          <w:rFonts w:ascii="Constantia" w:hAnsi="Constantia"/>
        </w:rPr>
      </w:pPr>
      <w:r w:rsidRPr="003F5C77">
        <w:rPr>
          <w:rFonts w:ascii="Constantia" w:hAnsi="Constantia"/>
        </w:rPr>
        <w:t xml:space="preserve">Once hierarchical indices are introduced, one must specify how they evaluate. This is the role of the Obidi Calculus. The Obidi Calculus provides the algebraic rules governing the behavior of hierarchical indices, just as the Einstein summation convention provides the rules for classical indices. The first rule of the Obidi Calculus is the Addition Rule. When a primary index and its secondary index are free — that is, when they appear only once in an expression — they expand as a double sum. The primary index ranges over its coordinate values, and for each coordinate value, the secondary index ranges over the geometric sectors. This rule formalizes the physical fact that many quantities in ToE are additive superpositions of sector contributions. The HMAS metric is </w:t>
      </w:r>
      <w:proofErr w:type="gramStart"/>
      <w:r w:rsidRPr="003F5C77">
        <w:rPr>
          <w:rFonts w:ascii="Constantia" w:hAnsi="Constantia"/>
        </w:rPr>
        <w:t>the</w:t>
      </w:r>
      <w:proofErr w:type="gramEnd"/>
      <w:r w:rsidRPr="003F5C77">
        <w:rPr>
          <w:rFonts w:ascii="Constantia" w:hAnsi="Constantia"/>
        </w:rPr>
        <w:t xml:space="preserve"> canonical example: its classical, quantum, and Lorentzian components add to form the total metric. The Addition Rule is the algebraic expression of this superposition principle.</w:t>
      </w:r>
    </w:p>
    <w:p w14:paraId="795A4CBC" w14:textId="77777777" w:rsidR="003F5C77" w:rsidRPr="003F5C77" w:rsidRDefault="003F5C77" w:rsidP="003F5C77">
      <w:pPr>
        <w:jc w:val="both"/>
        <w:rPr>
          <w:rFonts w:ascii="Constantia" w:hAnsi="Constantia"/>
        </w:rPr>
      </w:pPr>
      <w:r w:rsidRPr="003F5C77">
        <w:rPr>
          <w:rFonts w:ascii="Constantia" w:hAnsi="Constantia"/>
        </w:rPr>
        <w:t xml:space="preserve">Not all quantities in ToE are additive, however. Certain constructions — particularly those arising in the Obidi Action and in spectral formulations — combine sector contributions multiplicatively. For these, the Obidi Calculus introduces the </w:t>
      </w:r>
      <w:r w:rsidRPr="003F5C77">
        <w:rPr>
          <w:rFonts w:ascii="Constantia" w:hAnsi="Constantia"/>
          <w:b/>
          <w:bCs/>
        </w:rPr>
        <w:t>Multiplication Rule</w:t>
      </w:r>
      <w:r w:rsidRPr="003F5C77">
        <w:rPr>
          <w:rFonts w:ascii="Constantia" w:hAnsi="Constantia"/>
        </w:rPr>
        <w:t>. A dotted secondary index signals that the evaluation proceeds as a product rather than a sum. This distinction between additive and multiplicative contraction is something the Einstein convention cannot express. The Obidi Calculus makes it explicit, unambiguous, and computationally natural.</w:t>
      </w:r>
    </w:p>
    <w:p w14:paraId="183EB83E" w14:textId="77777777" w:rsidR="003F5C77" w:rsidRPr="003F5C77" w:rsidRDefault="003F5C77" w:rsidP="003F5C77">
      <w:pPr>
        <w:jc w:val="both"/>
        <w:rPr>
          <w:rFonts w:ascii="Constantia" w:hAnsi="Constantia"/>
        </w:rPr>
      </w:pPr>
      <w:r w:rsidRPr="003F5C77">
        <w:rPr>
          <w:rFonts w:ascii="Constantia" w:hAnsi="Constantia"/>
        </w:rPr>
        <w:t xml:space="preserve">The Obidi Index is the specific </w:t>
      </w:r>
      <w:r w:rsidRPr="003F5C77">
        <w:rPr>
          <w:rFonts w:ascii="Constantia" w:hAnsi="Constantia"/>
          <w:b/>
          <w:bCs/>
        </w:rPr>
        <w:t>secondary index</w:t>
      </w:r>
      <w:r w:rsidRPr="003F5C77">
        <w:rPr>
          <w:rFonts w:ascii="Constantia" w:hAnsi="Constantia"/>
        </w:rPr>
        <w:t xml:space="preserve"> used in ToE to label the </w:t>
      </w:r>
      <w:r w:rsidRPr="003F5C77">
        <w:rPr>
          <w:rFonts w:ascii="Constantia" w:hAnsi="Constantia"/>
          <w:b/>
          <w:bCs/>
        </w:rPr>
        <w:t>geometric sectors</w:t>
      </w:r>
      <w:r w:rsidRPr="003F5C77">
        <w:rPr>
          <w:rFonts w:ascii="Constantia" w:hAnsi="Constantia"/>
        </w:rPr>
        <w:t xml:space="preserve"> of the HMAS. It ranges over the Fisher–Rao, Fubini–Study, and Lorentzian sectors. It is the device by which the multi</w:t>
      </w:r>
      <w:r w:rsidRPr="003F5C77">
        <w:rPr>
          <w:rFonts w:ascii="Constantia" w:hAnsi="Constantia"/>
        </w:rPr>
        <w:noBreakHyphen/>
        <w:t>sector structure of the theory is encoded directly into the notation. It is the key that unlocks the hierarchical architecture of the HMAS metric and the entropic field equations.</w:t>
      </w:r>
    </w:p>
    <w:p w14:paraId="392EE463" w14:textId="77777777" w:rsidR="003F5C77" w:rsidRPr="003F5C77" w:rsidRDefault="003F5C77" w:rsidP="003F5C77">
      <w:pPr>
        <w:jc w:val="both"/>
        <w:rPr>
          <w:rFonts w:ascii="Constantia" w:hAnsi="Constantia"/>
        </w:rPr>
      </w:pPr>
      <w:r w:rsidRPr="003F5C77">
        <w:rPr>
          <w:rFonts w:ascii="Constantia" w:hAnsi="Constantia"/>
        </w:rPr>
        <w:t>When the Obidi Convention and the Obidi Calculus are combined with the classical Einstein summation convention, the result is the E</w:t>
      </w:r>
      <w:r w:rsidRPr="003F5C77">
        <w:rPr>
          <w:rFonts w:ascii="Constantia" w:hAnsi="Constantia"/>
          <w:b/>
          <w:bCs/>
        </w:rPr>
        <w:t>instein–Obidi Convention</w:t>
      </w:r>
      <w:r w:rsidRPr="003F5C77">
        <w:rPr>
          <w:rFonts w:ascii="Constantia" w:hAnsi="Constantia"/>
        </w:rPr>
        <w:t xml:space="preserve"> and the Einstein–Obidi Calculus. This fusion yields a complete notational and computational framework capable of expressing the full multi</w:t>
      </w:r>
      <w:r w:rsidRPr="003F5C77">
        <w:rPr>
          <w:rFonts w:ascii="Constantia" w:hAnsi="Constantia"/>
        </w:rPr>
        <w:noBreakHyphen/>
        <w:t>sector tensor structures of ToE. It extends Einstein’s convention into a domain that Einstein himself never needed to consider: a domain in which indices carry their own indices, in which summation and multiplication coexist at different levels of the hierarchy, and in which geometric provenance is encoded directly into the notation.</w:t>
      </w:r>
    </w:p>
    <w:p w14:paraId="56FC76D7" w14:textId="77777777" w:rsidR="003F5C77" w:rsidRPr="003F5C77" w:rsidRDefault="003F5C77" w:rsidP="003F5C77">
      <w:pPr>
        <w:jc w:val="both"/>
        <w:rPr>
          <w:rFonts w:ascii="Constantia" w:hAnsi="Constantia"/>
        </w:rPr>
      </w:pPr>
      <w:r w:rsidRPr="003F5C77">
        <w:rPr>
          <w:rFonts w:ascii="Constantia" w:hAnsi="Constantia"/>
        </w:rPr>
        <w:lastRenderedPageBreak/>
        <w:t xml:space="preserve">The </w:t>
      </w:r>
      <w:r w:rsidRPr="003F5C77">
        <w:rPr>
          <w:rFonts w:ascii="Constantia" w:hAnsi="Constantia"/>
          <w:b/>
          <w:bCs/>
        </w:rPr>
        <w:t>Operator Product Compactification</w:t>
      </w:r>
      <w:r w:rsidRPr="003F5C77">
        <w:rPr>
          <w:rFonts w:ascii="Constantia" w:hAnsi="Constantia"/>
        </w:rPr>
        <w:t xml:space="preserve"> of the Euler–Lagrange Equations completes the toolkit by providing a compact, sector</w:t>
      </w:r>
      <w:r w:rsidRPr="003F5C77">
        <w:rPr>
          <w:rFonts w:ascii="Constantia" w:hAnsi="Constantia"/>
        </w:rPr>
        <w:noBreakHyphen/>
        <w:t xml:space="preserve">aware formulation of variational principles in the </w:t>
      </w:r>
      <w:r w:rsidRPr="003F5C77">
        <w:rPr>
          <w:rFonts w:ascii="Constantia" w:hAnsi="Constantia"/>
          <w:b/>
          <w:bCs/>
        </w:rPr>
        <w:t>HMAS</w:t>
      </w:r>
      <w:r w:rsidRPr="003F5C77">
        <w:rPr>
          <w:rFonts w:ascii="Constantia" w:hAnsi="Constantia"/>
        </w:rPr>
        <w:t>. It allows the Euler–Lagrange equations of ToE to be written in a form that respects the hierarchical index structure and the additive</w:t>
      </w:r>
      <w:r w:rsidRPr="003F5C77">
        <w:rPr>
          <w:rFonts w:ascii="Constantia" w:hAnsi="Constantia"/>
        </w:rPr>
        <w:noBreakHyphen/>
        <w:t>multiplicative duality of the Obidi Calculus. It is the natural variational counterpart to the Einstein–Obidi Calculus.</w:t>
      </w:r>
    </w:p>
    <w:p w14:paraId="2E67FDE2" w14:textId="77777777" w:rsidR="003F5C77" w:rsidRPr="003F5C77" w:rsidRDefault="003F5C77" w:rsidP="003F5C77">
      <w:pPr>
        <w:jc w:val="both"/>
        <w:rPr>
          <w:rFonts w:ascii="Constantia" w:hAnsi="Constantia"/>
        </w:rPr>
      </w:pPr>
      <w:r w:rsidRPr="003F5C77">
        <w:rPr>
          <w:rFonts w:ascii="Constantia" w:hAnsi="Constantia"/>
        </w:rPr>
        <w:t>In the same spirit that the Obidi Convention and Obidi Calculus extend the expressive power of tensor notation, the </w:t>
      </w:r>
      <w:r w:rsidRPr="003F5C77">
        <w:rPr>
          <w:rFonts w:ascii="Constantia" w:hAnsi="Constantia"/>
          <w:b/>
          <w:bCs/>
        </w:rPr>
        <w:t>Obidi Fraktur Index</w:t>
      </w:r>
      <w:r w:rsidRPr="003F5C77">
        <w:rPr>
          <w:rFonts w:ascii="Constantia" w:hAnsi="Constantia"/>
        </w:rPr>
        <w:t> provides a structural simplification of the Euler–Lagrange equations themselves. The classical Euler–Lagrange operator contains two conceptually distinct operations: the variation of the Lagrangian with respect to the field, and the divergence of the variation with respect to the field’s derivatives. In the multi</w:t>
      </w:r>
      <w:r w:rsidRPr="003F5C77">
        <w:rPr>
          <w:rFonts w:ascii="Constantia" w:hAnsi="Constantia"/>
        </w:rPr>
        <w:noBreakHyphen/>
        <w:t>sector architecture of ToE, these operations proliferate across primary and secondary index levels, producing expressions that are correct but unwieldy. The Obidi Fraktur Index resolves this by acting as a single operator that encapsulates the entire Euler–Lagrange procedure. Instead of writing the variation term and the divergence term separately, the Fraktur Index absorbs both into a unified symbolic action. The result is that the full Euler–Lagrange equation of any ToE Lagrangian can be written in the compact form LM=0, where the </w:t>
      </w:r>
      <w:r w:rsidRPr="003F5C77">
        <w:rPr>
          <w:rFonts w:ascii="Constantia" w:hAnsi="Constantia"/>
          <w:b/>
          <w:bCs/>
        </w:rPr>
        <w:t>Obidi Fraktur Index M</w:t>
      </w:r>
      <w:r w:rsidRPr="003F5C77">
        <w:rPr>
          <w:rFonts w:ascii="Constantia" w:hAnsi="Constantia"/>
        </w:rPr>
        <w:t> silently performs all the differentiation, contraction, and sector</w:t>
      </w:r>
      <w:r w:rsidRPr="003F5C77">
        <w:rPr>
          <w:rFonts w:ascii="Constantia" w:hAnsi="Constantia"/>
        </w:rPr>
        <w:noBreakHyphen/>
        <w:t>aware bookkeeping that the hierarchical index system requires. This compactification is not merely a notational convenience; it is a conceptual clarification. It reveals that the variational structure of ToE possesses an intrinsic unity that is obscured when written in expanded form. The Obidi Fraktur Index makes that unity explicit, giving the Euler–Lagrange equations of Entropicity the same structural economy that the Einstein–Obidi Calculus brings to its tensor algebra.</w:t>
      </w:r>
    </w:p>
    <w:p w14:paraId="66839087" w14:textId="77777777" w:rsidR="003F5C77" w:rsidRDefault="003F5C77" w:rsidP="003F5C77">
      <w:pPr>
        <w:jc w:val="both"/>
        <w:rPr>
          <w:rFonts w:ascii="Constantia" w:hAnsi="Constantia"/>
        </w:rPr>
      </w:pPr>
      <w:r w:rsidRPr="003F5C77">
        <w:rPr>
          <w:rFonts w:ascii="Constantia" w:hAnsi="Constantia"/>
        </w:rPr>
        <w:t xml:space="preserve">Together, these tools form the mathematical language of the Theory of Entropicity (ToE). They make the theory writable. They make its structure visible. They make </w:t>
      </w:r>
      <w:proofErr w:type="gramStart"/>
      <w:r w:rsidRPr="003F5C77">
        <w:rPr>
          <w:rFonts w:ascii="Constantia" w:hAnsi="Constantia"/>
        </w:rPr>
        <w:t>its</w:t>
      </w:r>
      <w:proofErr w:type="gramEnd"/>
      <w:r w:rsidRPr="003F5C77">
        <w:rPr>
          <w:rFonts w:ascii="Constantia" w:hAnsi="Constantia"/>
        </w:rPr>
        <w:t xml:space="preserve"> computations tractable. They allow the HMAS — a manifold of unprecedented geometric richness — to be expressed with clarity and precision. They are not optional embellishments but essential components of the theory itself. Without them, the mathematics of Entropicity would remain hidden behind the limitations of classical notation. With them, the theory becomes transparent.</w:t>
      </w:r>
    </w:p>
    <w:p w14:paraId="19A75125" w14:textId="77777777" w:rsidR="00957F35" w:rsidRDefault="00957F35" w:rsidP="003F5C77">
      <w:pPr>
        <w:jc w:val="both"/>
        <w:rPr>
          <w:rFonts w:ascii="Constantia" w:hAnsi="Constantia"/>
        </w:rPr>
      </w:pPr>
    </w:p>
    <w:p w14:paraId="3FF98A80" w14:textId="77777777" w:rsidR="00957F35" w:rsidRPr="003F5C77" w:rsidRDefault="00957F35" w:rsidP="003F5C77">
      <w:pPr>
        <w:jc w:val="both"/>
        <w:rPr>
          <w:rFonts w:ascii="Constantia" w:hAnsi="Constantia"/>
        </w:rPr>
      </w:pPr>
    </w:p>
    <w:p w14:paraId="604C8B8B" w14:textId="77777777" w:rsidR="003F5C77" w:rsidRPr="003F5C77" w:rsidRDefault="003F5C77" w:rsidP="003F5C77">
      <w:pPr>
        <w:jc w:val="both"/>
        <w:rPr>
          <w:rFonts w:ascii="Constantia" w:hAnsi="Constantia"/>
        </w:rPr>
      </w:pPr>
    </w:p>
    <w:p w14:paraId="7392410A" w14:textId="77777777" w:rsidR="003F5C77" w:rsidRPr="00EA2C20" w:rsidRDefault="003F5C77" w:rsidP="003F5C77">
      <w:pPr>
        <w:jc w:val="both"/>
        <w:rPr>
          <w:rFonts w:ascii="Cambria" w:hAnsi="Cambria"/>
          <w:b/>
          <w:bCs/>
          <w:sz w:val="48"/>
          <w:szCs w:val="48"/>
        </w:rPr>
      </w:pPr>
      <w:r w:rsidRPr="00EA2C20">
        <w:rPr>
          <w:rFonts w:ascii="Cambria" w:hAnsi="Cambria"/>
          <w:b/>
          <w:bCs/>
          <w:sz w:val="48"/>
          <w:szCs w:val="48"/>
        </w:rPr>
        <w:lastRenderedPageBreak/>
        <w:t>Reference</w:t>
      </w:r>
    </w:p>
    <w:p w14:paraId="7153748B" w14:textId="4CD60BE7" w:rsidR="00D21C02" w:rsidRDefault="003F5C77" w:rsidP="003F5C77">
      <w:pPr>
        <w:jc w:val="both"/>
        <w:rPr>
          <w:rFonts w:ascii="Constantia" w:hAnsi="Constantia"/>
        </w:rPr>
      </w:pPr>
      <w:r w:rsidRPr="003F5C77">
        <w:rPr>
          <w:rFonts w:ascii="Constantia" w:hAnsi="Constantia"/>
        </w:rPr>
        <w:t>An Introduction to the Mathematical Theory and Core Concepts of the Theory of Entropicity (ToE): A Rigorous Path Toward a Complete Derivation of the Einstein Field Equations of General Relativity as a Limiting Case from an Entropic Field Theory. ToE Living Review Letters Series, Letter IV — Volume I, Part I, Monograph Edition. (</w:t>
      </w:r>
      <w:r w:rsidRPr="003F5C77">
        <w:rPr>
          <w:rFonts w:ascii="Constantia" w:hAnsi="Constantia"/>
          <w:b/>
          <w:bCs/>
        </w:rPr>
        <w:t>Canonical Archives of ToE</w:t>
      </w:r>
      <w:r w:rsidRPr="003F5C77">
        <w:rPr>
          <w:rFonts w:ascii="Constantia" w:hAnsi="Constantia"/>
        </w:rPr>
        <w:t>)</w:t>
      </w:r>
    </w:p>
    <w:p w14:paraId="08D8C2DB" w14:textId="77777777" w:rsidR="00957F35" w:rsidRDefault="00957F35" w:rsidP="003F5C77">
      <w:pPr>
        <w:pStyle w:val="ListParagraph"/>
        <w:numPr>
          <w:ilvl w:val="0"/>
          <w:numId w:val="8"/>
        </w:numPr>
        <w:jc w:val="both"/>
        <w:rPr>
          <w:rFonts w:ascii="Constantia" w:hAnsi="Constantia"/>
        </w:rPr>
      </w:pPr>
      <w:hyperlink r:id="rId7" w:history="1">
        <w:r w:rsidRPr="00957F35">
          <w:rPr>
            <w:rStyle w:val="Hyperlink"/>
            <w:rFonts w:ascii="Constantia" w:hAnsi="Constantia"/>
          </w:rPr>
          <w:t>an-introduction-to-the-obidi-convention-in-modern-theoretical-physics-primary-and-secondary-index-notations-in-the-theory-of-entropicity-toe.pdf</w:t>
        </w:r>
      </w:hyperlink>
    </w:p>
    <w:p w14:paraId="3CEC300E" w14:textId="77777777" w:rsidR="00957F35" w:rsidRDefault="00957F35" w:rsidP="003F5C77">
      <w:pPr>
        <w:pStyle w:val="ListParagraph"/>
        <w:numPr>
          <w:ilvl w:val="0"/>
          <w:numId w:val="8"/>
        </w:numPr>
        <w:jc w:val="both"/>
        <w:rPr>
          <w:rFonts w:ascii="Constantia" w:hAnsi="Constantia"/>
        </w:rPr>
      </w:pPr>
      <w:hyperlink r:id="rId8" w:history="1">
        <w:r w:rsidRPr="00957F35">
          <w:rPr>
            <w:rStyle w:val="Hyperlink"/>
            <w:rFonts w:ascii="Constantia" w:hAnsi="Constantia"/>
          </w:rPr>
          <w:t>an-introduction-to-the-mathematical-theory-and-core-concepts-of-the-theory-of-entropicity-toe-a-rigorous-path-toward-a-complete-derivation-of-the-einstein-field-equations-of-general-relativity.pdf</w:t>
        </w:r>
      </w:hyperlink>
    </w:p>
    <w:p w14:paraId="43B17DAA" w14:textId="4F59A3C2" w:rsidR="00957F35" w:rsidRPr="00957F35" w:rsidRDefault="00957F35" w:rsidP="003F5C77">
      <w:pPr>
        <w:pStyle w:val="ListParagraph"/>
        <w:numPr>
          <w:ilvl w:val="0"/>
          <w:numId w:val="8"/>
        </w:numPr>
        <w:jc w:val="both"/>
        <w:rPr>
          <w:rFonts w:ascii="Constantia" w:hAnsi="Constantia"/>
        </w:rPr>
      </w:pPr>
      <w:hyperlink r:id="rId9" w:history="1">
        <w:r w:rsidRPr="00957F35">
          <w:rPr>
            <w:rStyle w:val="Hyperlink"/>
            <w:rFonts w:ascii="Constantia" w:hAnsi="Constantia"/>
          </w:rPr>
          <w:t>an-introduction-to-the-mathematical-theory-and-core-concepts-of-the-theory-of-entropicity-toe-a-definitive-mathematical-introduction-to-a-new-physics.pdf</w:t>
        </w:r>
      </w:hyperlink>
    </w:p>
    <w:p w14:paraId="5651E708" w14:textId="77777777" w:rsidR="00EA2C20" w:rsidRDefault="00EA2C20" w:rsidP="003F5C77">
      <w:pPr>
        <w:jc w:val="both"/>
        <w:rPr>
          <w:rFonts w:ascii="Constantia" w:hAnsi="Constantia"/>
        </w:rPr>
      </w:pPr>
    </w:p>
    <w:p w14:paraId="346E8422" w14:textId="2A17E653" w:rsidR="00EA2C20" w:rsidRPr="00EA2C20" w:rsidRDefault="00EA2C20" w:rsidP="00EA2C20">
      <w:pPr>
        <w:jc w:val="both"/>
        <w:rPr>
          <w:rFonts w:ascii="Constantia" w:hAnsi="Constantia"/>
          <w:b/>
          <w:bCs/>
        </w:rPr>
      </w:pPr>
      <w:r w:rsidRPr="00EA2C20">
        <w:rPr>
          <w:rFonts w:ascii="Segoe UI Emoji" w:hAnsi="Segoe UI Emoji" w:cs="Segoe UI Emoji"/>
          <w:b/>
          <w:bCs/>
        </w:rPr>
        <w:t>📚</w:t>
      </w:r>
      <w:r w:rsidRPr="00EA2C20">
        <w:rPr>
          <w:rFonts w:ascii="Constantia" w:hAnsi="Constantia"/>
          <w:b/>
          <w:bCs/>
        </w:rPr>
        <w:t xml:space="preserve"> </w:t>
      </w:r>
      <w:r>
        <w:rPr>
          <w:rFonts w:ascii="Constantia" w:hAnsi="Constantia"/>
          <w:b/>
          <w:bCs/>
        </w:rPr>
        <w:t xml:space="preserve">The ToE </w:t>
      </w:r>
      <w:r w:rsidRPr="00EA2C20">
        <w:rPr>
          <w:rFonts w:ascii="Constantia" w:hAnsi="Constantia"/>
          <w:b/>
          <w:bCs/>
        </w:rPr>
        <w:t>Canonical Archive</w:t>
      </w:r>
    </w:p>
    <w:p w14:paraId="0ECFC9F2" w14:textId="502D25F2" w:rsidR="00EA2C20" w:rsidRPr="00EA2C20" w:rsidRDefault="00EA2C20" w:rsidP="00EA2C20">
      <w:pPr>
        <w:jc w:val="both"/>
        <w:rPr>
          <w:rFonts w:ascii="Constantia" w:hAnsi="Constantia"/>
        </w:rPr>
      </w:pPr>
      <w:r w:rsidRPr="00EA2C20">
        <w:rPr>
          <w:rFonts w:ascii="Constantia" w:hAnsi="Constantia"/>
        </w:rPr>
        <w:t>The full Theory of Entropicity</w:t>
      </w:r>
      <w:r>
        <w:rPr>
          <w:rFonts w:ascii="Constantia" w:hAnsi="Constantia"/>
        </w:rPr>
        <w:t xml:space="preserve"> (ToE)</w:t>
      </w:r>
      <w:r w:rsidRPr="00EA2C20">
        <w:rPr>
          <w:rFonts w:ascii="Constantia" w:hAnsi="Constantia"/>
        </w:rPr>
        <w:t xml:space="preserve"> Living Review Letters Series</w:t>
      </w:r>
      <w:r>
        <w:rPr>
          <w:rFonts w:ascii="Constantia" w:hAnsi="Constantia"/>
        </w:rPr>
        <w:t xml:space="preserve"> (</w:t>
      </w:r>
      <w:r w:rsidRPr="00EA2C20">
        <w:rPr>
          <w:rFonts w:ascii="Constantia" w:hAnsi="Constantia"/>
          <w:b/>
          <w:bCs/>
        </w:rPr>
        <w:t>ToE LRLS</w:t>
      </w:r>
      <w:r>
        <w:rPr>
          <w:rFonts w:ascii="Constantia" w:hAnsi="Constantia"/>
        </w:rPr>
        <w:t>)</w:t>
      </w:r>
      <w:r w:rsidRPr="00EA2C20">
        <w:rPr>
          <w:rFonts w:ascii="Constantia" w:hAnsi="Constantia"/>
        </w:rPr>
        <w:t xml:space="preserve"> is available at: </w:t>
      </w:r>
      <w:hyperlink r:id="rId10" w:history="1">
        <w:r w:rsidRPr="00EA2C20">
          <w:rPr>
            <w:rStyle w:val="Hyperlink"/>
            <w:rFonts w:ascii="Constantia" w:hAnsi="Constantia"/>
          </w:rPr>
          <w:t>https://entropicity.github.io/Theory-of-Entropicity-ToE/</w:t>
        </w:r>
      </w:hyperlink>
      <w:r w:rsidRPr="00EA2C20">
        <w:rPr>
          <w:rFonts w:ascii="Constantia" w:hAnsi="Constantia"/>
          <w:b/>
          <w:bCs/>
        </w:rPr>
        <w:t xml:space="preserve"> </w:t>
      </w:r>
      <w:hyperlink r:id="rId11" w:history="1">
        <w:r w:rsidRPr="00EA2C20">
          <w:rPr>
            <w:rStyle w:val="Hyperlink"/>
            <w:rFonts w:ascii="Constantia" w:hAnsi="Constantia"/>
            <w:b/>
            <w:bCs/>
          </w:rPr>
          <w:t>(entropicity.github.io)</w:t>
        </w:r>
      </w:hyperlink>
    </w:p>
    <w:p w14:paraId="1D12FE7B" w14:textId="77777777" w:rsidR="00EA2C20" w:rsidRPr="003F5C77" w:rsidRDefault="00EA2C20" w:rsidP="003F5C77">
      <w:pPr>
        <w:jc w:val="both"/>
        <w:rPr>
          <w:rFonts w:ascii="Constantia" w:hAnsi="Constantia"/>
        </w:rPr>
      </w:pPr>
    </w:p>
    <w:sectPr w:rsidR="00EA2C20" w:rsidRPr="003F5C77" w:rsidSect="00957F35">
      <w:headerReference w:type="default" r:id="rId12"/>
      <w:footerReference w:type="defaul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86F4" w14:textId="77777777" w:rsidR="00D67A7F" w:rsidRDefault="00D67A7F" w:rsidP="00957F35">
      <w:pPr>
        <w:spacing w:after="0" w:line="240" w:lineRule="auto"/>
      </w:pPr>
      <w:r>
        <w:separator/>
      </w:r>
    </w:p>
  </w:endnote>
  <w:endnote w:type="continuationSeparator" w:id="0">
    <w:p w14:paraId="11E318AC" w14:textId="77777777" w:rsidR="00D67A7F" w:rsidRDefault="00D67A7F" w:rsidP="0095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6245"/>
      <w:docPartObj>
        <w:docPartGallery w:val="Page Numbers (Bottom of Page)"/>
        <w:docPartUnique/>
      </w:docPartObj>
    </w:sdtPr>
    <w:sdtContent>
      <w:sdt>
        <w:sdtPr>
          <w:id w:val="-1769616900"/>
          <w:docPartObj>
            <w:docPartGallery w:val="Page Numbers (Top of Page)"/>
            <w:docPartUnique/>
          </w:docPartObj>
        </w:sdtPr>
        <w:sdtContent>
          <w:p w14:paraId="1CF80215" w14:textId="2664A878" w:rsidR="00957F35" w:rsidRDefault="00957F3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D53A7A5" w14:textId="77777777" w:rsidR="00957F35" w:rsidRDefault="00957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90DD" w14:textId="77777777" w:rsidR="00D67A7F" w:rsidRDefault="00D67A7F" w:rsidP="00957F35">
      <w:pPr>
        <w:spacing w:after="0" w:line="240" w:lineRule="auto"/>
      </w:pPr>
      <w:r>
        <w:separator/>
      </w:r>
    </w:p>
  </w:footnote>
  <w:footnote w:type="continuationSeparator" w:id="0">
    <w:p w14:paraId="2D6E80CA" w14:textId="77777777" w:rsidR="00D67A7F" w:rsidRDefault="00D67A7F" w:rsidP="0095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DE57" w14:textId="77777777" w:rsidR="00957F35" w:rsidRPr="00957F35" w:rsidRDefault="00957F35" w:rsidP="00957F35">
    <w:pPr>
      <w:jc w:val="both"/>
      <w:rPr>
        <w:rFonts w:ascii="Cambria" w:hAnsi="Cambria"/>
        <w:b/>
        <w:bCs/>
      </w:rPr>
    </w:pPr>
    <w:r w:rsidRPr="00957F35">
      <w:rPr>
        <w:rFonts w:ascii="Cambria" w:hAnsi="Cambria"/>
        <w:b/>
        <w:bCs/>
      </w:rPr>
      <w:t>Expository Canonical Explanation of the Obidi Convention and Obidi Calculus — Side Notes to the Mathematical Letter IV of the Theory of Entropicity (ToE): An Introduction to the Mathematical Theory and Core Concepts of ToE</w:t>
    </w:r>
  </w:p>
  <w:p w14:paraId="680707EB" w14:textId="77777777" w:rsidR="00957F35" w:rsidRDefault="00957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44A"/>
    <w:multiLevelType w:val="multilevel"/>
    <w:tmpl w:val="6EB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31B20"/>
    <w:multiLevelType w:val="hybridMultilevel"/>
    <w:tmpl w:val="BE60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B48B4"/>
    <w:multiLevelType w:val="hybridMultilevel"/>
    <w:tmpl w:val="CD887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2BD8"/>
    <w:multiLevelType w:val="multilevel"/>
    <w:tmpl w:val="7DE67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055B5"/>
    <w:multiLevelType w:val="hybridMultilevel"/>
    <w:tmpl w:val="95BA8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C4466"/>
    <w:multiLevelType w:val="hybridMultilevel"/>
    <w:tmpl w:val="9F54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95971"/>
    <w:multiLevelType w:val="hybridMultilevel"/>
    <w:tmpl w:val="78FCE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32B10"/>
    <w:multiLevelType w:val="hybridMultilevel"/>
    <w:tmpl w:val="7978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291726">
    <w:abstractNumId w:val="0"/>
  </w:num>
  <w:num w:numId="2" w16cid:durableId="456263781">
    <w:abstractNumId w:val="5"/>
  </w:num>
  <w:num w:numId="3" w16cid:durableId="984814901">
    <w:abstractNumId w:val="4"/>
  </w:num>
  <w:num w:numId="4" w16cid:durableId="1846943478">
    <w:abstractNumId w:val="7"/>
  </w:num>
  <w:num w:numId="5" w16cid:durableId="723718078">
    <w:abstractNumId w:val="1"/>
  </w:num>
  <w:num w:numId="6" w16cid:durableId="567112318">
    <w:abstractNumId w:val="2"/>
  </w:num>
  <w:num w:numId="7" w16cid:durableId="1500081062">
    <w:abstractNumId w:val="3"/>
  </w:num>
  <w:num w:numId="8" w16cid:durableId="11720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D1"/>
    <w:rsid w:val="00014CD1"/>
    <w:rsid w:val="00126B38"/>
    <w:rsid w:val="00303F28"/>
    <w:rsid w:val="003F5C77"/>
    <w:rsid w:val="00400690"/>
    <w:rsid w:val="004A10DD"/>
    <w:rsid w:val="0063032D"/>
    <w:rsid w:val="0065204A"/>
    <w:rsid w:val="00957F35"/>
    <w:rsid w:val="00B205B9"/>
    <w:rsid w:val="00B83CFB"/>
    <w:rsid w:val="00C30DE7"/>
    <w:rsid w:val="00D03DF2"/>
    <w:rsid w:val="00D21C02"/>
    <w:rsid w:val="00D67A7F"/>
    <w:rsid w:val="00E638A0"/>
    <w:rsid w:val="00EA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40B6"/>
  <w15:chartTrackingRefBased/>
  <w15:docId w15:val="{23572AD7-68AA-4FFB-B2F0-9B9C1B18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014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D1"/>
    <w:rPr>
      <w:rFonts w:eastAsiaTheme="majorEastAsia" w:cstheme="majorBidi"/>
      <w:color w:val="272727" w:themeColor="text1" w:themeTint="D8"/>
    </w:rPr>
  </w:style>
  <w:style w:type="paragraph" w:styleId="Title">
    <w:name w:val="Title"/>
    <w:basedOn w:val="Normal"/>
    <w:next w:val="Normal"/>
    <w:link w:val="TitleChar"/>
    <w:uiPriority w:val="10"/>
    <w:qFormat/>
    <w:rsid w:val="0001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D1"/>
    <w:pPr>
      <w:spacing w:before="160"/>
      <w:jc w:val="center"/>
    </w:pPr>
    <w:rPr>
      <w:i/>
      <w:iCs/>
      <w:color w:val="404040" w:themeColor="text1" w:themeTint="BF"/>
    </w:rPr>
  </w:style>
  <w:style w:type="character" w:customStyle="1" w:styleId="QuoteChar">
    <w:name w:val="Quote Char"/>
    <w:basedOn w:val="DefaultParagraphFont"/>
    <w:link w:val="Quote"/>
    <w:uiPriority w:val="29"/>
    <w:rsid w:val="00014CD1"/>
    <w:rPr>
      <w:i/>
      <w:iCs/>
      <w:color w:val="404040" w:themeColor="text1" w:themeTint="BF"/>
    </w:rPr>
  </w:style>
  <w:style w:type="paragraph" w:styleId="ListParagraph">
    <w:name w:val="List Paragraph"/>
    <w:basedOn w:val="Normal"/>
    <w:uiPriority w:val="34"/>
    <w:qFormat/>
    <w:rsid w:val="00014CD1"/>
    <w:pPr>
      <w:ind w:left="720"/>
      <w:contextualSpacing/>
    </w:pPr>
  </w:style>
  <w:style w:type="character" w:styleId="IntenseEmphasis">
    <w:name w:val="Intense Emphasis"/>
    <w:basedOn w:val="DefaultParagraphFont"/>
    <w:uiPriority w:val="21"/>
    <w:qFormat/>
    <w:rsid w:val="00014CD1"/>
    <w:rPr>
      <w:i/>
      <w:iCs/>
      <w:color w:val="0F4761" w:themeColor="accent1" w:themeShade="BF"/>
    </w:rPr>
  </w:style>
  <w:style w:type="paragraph" w:styleId="IntenseQuote">
    <w:name w:val="Intense Quote"/>
    <w:basedOn w:val="Normal"/>
    <w:next w:val="Normal"/>
    <w:link w:val="IntenseQuoteChar"/>
    <w:uiPriority w:val="30"/>
    <w:qFormat/>
    <w:rsid w:val="0001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CD1"/>
    <w:rPr>
      <w:i/>
      <w:iCs/>
      <w:color w:val="0F4761" w:themeColor="accent1" w:themeShade="BF"/>
    </w:rPr>
  </w:style>
  <w:style w:type="character" w:styleId="IntenseReference">
    <w:name w:val="Intense Reference"/>
    <w:basedOn w:val="DefaultParagraphFont"/>
    <w:uiPriority w:val="32"/>
    <w:qFormat/>
    <w:rsid w:val="00014CD1"/>
    <w:rPr>
      <w:b/>
      <w:bCs/>
      <w:smallCaps/>
      <w:color w:val="0F4761" w:themeColor="accent1" w:themeShade="BF"/>
      <w:spacing w:val="5"/>
    </w:rPr>
  </w:style>
  <w:style w:type="character" w:styleId="PlaceholderText">
    <w:name w:val="Placeholder Text"/>
    <w:basedOn w:val="DefaultParagraphFont"/>
    <w:uiPriority w:val="99"/>
    <w:semiHidden/>
    <w:rsid w:val="00C30DE7"/>
    <w:rPr>
      <w:color w:val="666666"/>
    </w:rPr>
  </w:style>
  <w:style w:type="character" w:styleId="Hyperlink">
    <w:name w:val="Hyperlink"/>
    <w:basedOn w:val="DefaultParagraphFont"/>
    <w:uiPriority w:val="99"/>
    <w:unhideWhenUsed/>
    <w:rsid w:val="00126B38"/>
    <w:rPr>
      <w:color w:val="467886" w:themeColor="hyperlink"/>
      <w:u w:val="single"/>
    </w:rPr>
  </w:style>
  <w:style w:type="character" w:styleId="UnresolvedMention">
    <w:name w:val="Unresolved Mention"/>
    <w:basedOn w:val="DefaultParagraphFont"/>
    <w:uiPriority w:val="99"/>
    <w:semiHidden/>
    <w:unhideWhenUsed/>
    <w:rsid w:val="00126B38"/>
    <w:rPr>
      <w:color w:val="605E5C"/>
      <w:shd w:val="clear" w:color="auto" w:fill="E1DFDD"/>
    </w:rPr>
  </w:style>
  <w:style w:type="character" w:styleId="FollowedHyperlink">
    <w:name w:val="FollowedHyperlink"/>
    <w:basedOn w:val="DefaultParagraphFont"/>
    <w:uiPriority w:val="99"/>
    <w:semiHidden/>
    <w:unhideWhenUsed/>
    <w:rsid w:val="0063032D"/>
    <w:rPr>
      <w:color w:val="96607D" w:themeColor="followedHyperlink"/>
      <w:u w:val="single"/>
    </w:rPr>
  </w:style>
  <w:style w:type="paragraph" w:styleId="Header">
    <w:name w:val="header"/>
    <w:basedOn w:val="Normal"/>
    <w:link w:val="HeaderChar"/>
    <w:uiPriority w:val="99"/>
    <w:unhideWhenUsed/>
    <w:rsid w:val="0095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F35"/>
  </w:style>
  <w:style w:type="paragraph" w:styleId="Footer">
    <w:name w:val="footer"/>
    <w:basedOn w:val="Normal"/>
    <w:link w:val="FooterChar"/>
    <w:uiPriority w:val="99"/>
    <w:unhideWhenUsed/>
    <w:rsid w:val="0095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opicity.github.io/Theory-of-Entropicity-ToE/docs/an-introduction-to-the-mathematical-theory-and-core-concepts-of-the-theory-of-entropicity-toe-a-rigorous-path-toward-a-complete-derivation-of-the-einstein-field-equations-of-general-relativit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tropicity.github.io/Theory-of-Entropicity-ToE/docs/an-introduction-to-the-obidi-convention-in-modern-theoretical-physics-primary-and-secondary-index-notations-in-the-theory-of-entropicity-to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search?q=%22https%3A%2F%2Fentropicity.github.io%2FTheory-of-Entropicity-ToE%2F%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tropicity.github.io/Theory-of-Entropicity-ToE/%20" TargetMode="External"/><Relationship Id="rId4" Type="http://schemas.openxmlformats.org/officeDocument/2006/relationships/webSettings" Target="webSettings.xml"/><Relationship Id="rId9" Type="http://schemas.openxmlformats.org/officeDocument/2006/relationships/hyperlink" Target="https://entropicity.github.io/Theory-of-Entropicity-ToE/docs/an-introduction-to-the-mathematical-theory-and-core-concepts-of-the-theory-of-entropicity-toe-a-definitive-mathematical-introduction-to-a-new-physic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5</cp:revision>
  <cp:lastPrinted>2026-06-10T00:48:00Z</cp:lastPrinted>
  <dcterms:created xsi:type="dcterms:W3CDTF">2026-06-10T01:44:00Z</dcterms:created>
  <dcterms:modified xsi:type="dcterms:W3CDTF">2026-06-10T01:51:00Z</dcterms:modified>
</cp:coreProperties>
</file>