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Connecting your bank</w:t>
      </w:r>
    </w:p>
    <w:p>
      <w:r>
        <w:t>Enable Banking setup for the Wealth Dashboard</w:t>
      </w:r>
    </w:p>
    <w:p>
      <w:r>
        <w:t>This guide connects your bank to the Wealth Dashboard so that balances and transactions arrive on their own, instead of you exporting a CSV every month. Allow about fifteen minutes.</w:t>
      </w:r>
    </w:p>
    <w:p>
      <w:r>
        <w:t>Enable Banking is the PSD2 provider the dashboard speaks to. You register your own application with them, so the consent is between you and your bank — nothing passes through a server belonging to whoever wrote the dashboard. Access is read-only: the app can see your transactions and can never move money.</w:t>
      </w:r>
    </w:p>
    <w:p>
      <w:pPr>
        <w:pStyle w:val="Heading1"/>
      </w:pPr>
      <w:r>
        <w:t>Before you start</w:t>
      </w:r>
    </w:p>
    <w:p>
      <w:r>
        <w:t>Install the Wealth Dashboard first, and note the address you reach it on, including the port:</w:t>
      </w:r>
    </w:p>
    <w:p>
      <w:pPr>
        <w:pStyle w:val="ListBullet"/>
      </w:pPr>
      <w:r>
        <w:t>On your own network: http://192.168.1.10:8000 — the port is the one you chose when installing on Unraid. It has to be free.</w:t>
      </w:r>
    </w:p>
    <w:p>
      <w:pPr>
        <w:pStyle w:val="ListBullet"/>
      </w:pPr>
      <w:r>
        <w:t>Better, through Cloudflare Tunnel or another proxy: https://dashboard.yourdomain.com</w:t>
      </w:r>
    </w:p>
    <w:p>
      <w:r>
        <w:t>This matters because Enable Banking needs a redirect URL — the address your bank sends you back to after you approve the connection — and you cannot register it before you know it.</w:t>
      </w:r>
    </w:p>
    <w:p>
      <w:r>
        <w:rPr>
          <w:i/>
          <w:color w:val="444444"/>
        </w:rPr>
        <w:t>Many providers only accept an https address. If yours refuses a plain http one, register a URL that goes nowhere (for example https://example.org/callback) and use the paste-by-hand route described at the end of this guide.</w:t>
      </w:r>
    </w:p>
    <w:p>
      <w:pPr>
        <w:pStyle w:val="Heading1"/>
      </w:pPr>
      <w:r>
        <w:t>1. Create an Enable Banking account</w:t>
      </w:r>
    </w:p>
    <w:p>
      <w:r>
        <w:t>Go to https://enablebanking.com/ and click Get started.</w:t>
      </w:r>
    </w:p>
    <w:p>
      <w:pPr>
        <w:jc w:val="center"/>
      </w:pPr>
      <w:r>
        <w:drawing>
          <wp:inline xmlns:a="http://schemas.openxmlformats.org/drawingml/2006/main" xmlns:pic="http://schemas.openxmlformats.org/drawingml/2006/picture">
            <wp:extent cx="5486400" cy="2910840"/>
            <wp:docPr id="1" name="Picture 1"/>
            <wp:cNvGraphicFramePr>
              <a:graphicFrameLocks noChangeAspect="1"/>
            </wp:cNvGraphicFramePr>
            <a:graphic>
              <a:graphicData uri="http://schemas.openxmlformats.org/drawingml/2006/picture">
                <pic:pic>
                  <pic:nvPicPr>
                    <pic:cNvPr id="0" name="image1.png"/>
                    <pic:cNvPicPr/>
                  </pic:nvPicPr>
                  <pic:blipFill>
                    <a:blip r:embed="rId9"/>
                    <a:stretch>
                      <a:fillRect/>
                    </a:stretch>
                  </pic:blipFill>
                  <pic:spPr>
                    <a:xfrm>
                      <a:off x="0" y="0"/>
                      <a:ext cx="5486400" cy="2910840"/>
                    </a:xfrm>
                    <a:prstGeom prst="rect"/>
                  </pic:spPr>
                </pic:pic>
              </a:graphicData>
            </a:graphic>
          </wp:inline>
        </w:drawing>
      </w:r>
    </w:p>
    <w:p>
      <w:pPr>
        <w:jc w:val="center"/>
      </w:pPr>
      <w:r>
        <w:rPr>
          <w:i/>
          <w:color w:val="666666"/>
          <w:sz w:val="18"/>
        </w:rPr>
        <w:t>The Enable Banking home page</w:t>
      </w:r>
    </w:p>
    <w:p>
      <w:r>
        <w:t>Fill in the form that opens. Only an email address, a first name and a last name are required.</w:t>
      </w:r>
    </w:p>
    <w:p>
      <w:pPr>
        <w:jc w:val="center"/>
      </w:pPr>
      <w:r>
        <w:drawing>
          <wp:inline xmlns:a="http://schemas.openxmlformats.org/drawingml/2006/main" xmlns:pic="http://schemas.openxmlformats.org/drawingml/2006/picture">
            <wp:extent cx="5486400" cy="2715768"/>
            <wp:docPr id="2" name="Picture 2"/>
            <wp:cNvGraphicFramePr>
              <a:graphicFrameLocks noChangeAspect="1"/>
            </wp:cNvGraphicFramePr>
            <a:graphic>
              <a:graphicData uri="http://schemas.openxmlformats.org/drawingml/2006/picture">
                <pic:pic>
                  <pic:nvPicPr>
                    <pic:cNvPr id="0" name="image2.png"/>
                    <pic:cNvPicPr/>
                  </pic:nvPicPr>
                  <pic:blipFill>
                    <a:blip r:embed="rId10"/>
                    <a:stretch>
                      <a:fillRect/>
                    </a:stretch>
                  </pic:blipFill>
                  <pic:spPr>
                    <a:xfrm>
                      <a:off x="0" y="0"/>
                      <a:ext cx="5486400" cy="2715768"/>
                    </a:xfrm>
                    <a:prstGeom prst="rect"/>
                  </pic:spPr>
                </pic:pic>
              </a:graphicData>
            </a:graphic>
          </wp:inline>
        </w:drawing>
      </w:r>
    </w:p>
    <w:p>
      <w:pPr>
        <w:jc w:val="center"/>
      </w:pPr>
      <w:r>
        <w:rPr>
          <w:i/>
          <w:color w:val="666666"/>
          <w:sz w:val="18"/>
        </w:rPr>
        <w:t>Registration — email, first name, last name</w:t>
      </w:r>
    </w:p>
    <w:p>
      <w:pPr>
        <w:pStyle w:val="Heading1"/>
      </w:pPr>
      <w:r>
        <w:t>2. Confirm your email</w:t>
      </w:r>
    </w:p>
    <w:p>
      <w:r>
        <w:t>Enable Banking sends a verification link. Open your mail app and look for the message titled “Your Enable Banking developer account”, then follow the link in it.</w:t>
      </w:r>
    </w:p>
    <w:p>
      <w:r>
        <w:t>The link brings you to enablebanking.com/sign-in. Enter the same email address you registered with.</w:t>
      </w:r>
    </w:p>
    <w:p>
      <w:pPr>
        <w:jc w:val="center"/>
      </w:pPr>
      <w:r>
        <w:drawing>
          <wp:inline xmlns:a="http://schemas.openxmlformats.org/drawingml/2006/main" xmlns:pic="http://schemas.openxmlformats.org/drawingml/2006/picture">
            <wp:extent cx="5486400" cy="1999488"/>
            <wp:docPr id="3" name="Picture 3"/>
            <wp:cNvGraphicFramePr>
              <a:graphicFrameLocks noChangeAspect="1"/>
            </wp:cNvGraphicFramePr>
            <a:graphic>
              <a:graphicData uri="http://schemas.openxmlformats.org/drawingml/2006/picture">
                <pic:pic>
                  <pic:nvPicPr>
                    <pic:cNvPr id="0" name="image3.png"/>
                    <pic:cNvPicPr/>
                  </pic:nvPicPr>
                  <pic:blipFill>
                    <a:blip r:embed="rId11"/>
                    <a:stretch>
                      <a:fillRect/>
                    </a:stretch>
                  </pic:blipFill>
                  <pic:spPr>
                    <a:xfrm>
                      <a:off x="0" y="0"/>
                      <a:ext cx="5486400" cy="1999488"/>
                    </a:xfrm>
                    <a:prstGeom prst="rect"/>
                  </pic:spPr>
                </pic:pic>
              </a:graphicData>
            </a:graphic>
          </wp:inline>
        </w:drawing>
      </w:r>
    </w:p>
    <w:p>
      <w:pPr>
        <w:jc w:val="center"/>
      </w:pPr>
      <w:r>
        <w:rPr>
          <w:i/>
          <w:color w:val="666666"/>
          <w:sz w:val="18"/>
        </w:rPr>
        <w:t>The sign-in page</w:t>
      </w:r>
    </w:p>
    <w:p>
      <w:r>
        <w:t>You will see this reply:</w:t>
      </w:r>
    </w:p>
    <w:p>
      <w:pPr>
        <w:jc w:val="center"/>
      </w:pPr>
      <w:r>
        <w:drawing>
          <wp:inline xmlns:a="http://schemas.openxmlformats.org/drawingml/2006/main" xmlns:pic="http://schemas.openxmlformats.org/drawingml/2006/picture">
            <wp:extent cx="5486400" cy="2316480"/>
            <wp:docPr id="4" name="Picture 4"/>
            <wp:cNvGraphicFramePr>
              <a:graphicFrameLocks noChangeAspect="1"/>
            </wp:cNvGraphicFramePr>
            <a:graphic>
              <a:graphicData uri="http://schemas.openxmlformats.org/drawingml/2006/picture">
                <pic:pic>
                  <pic:nvPicPr>
                    <pic:cNvPr id="0" name="image4.png"/>
                    <pic:cNvPicPr/>
                  </pic:nvPicPr>
                  <pic:blipFill>
                    <a:blip r:embed="rId12"/>
                    <a:stretch>
                      <a:fillRect/>
                    </a:stretch>
                  </pic:blipFill>
                  <pic:spPr>
                    <a:xfrm>
                      <a:off x="0" y="0"/>
                      <a:ext cx="5486400" cy="2316480"/>
                    </a:xfrm>
                    <a:prstGeom prst="rect"/>
                  </pic:spPr>
                </pic:pic>
              </a:graphicData>
            </a:graphic>
          </wp:inline>
        </w:drawing>
      </w:r>
    </w:p>
    <w:p>
      <w:pPr>
        <w:jc w:val="center"/>
      </w:pPr>
      <w:r>
        <w:rPr>
          <w:i/>
          <w:color w:val="666666"/>
          <w:sz w:val="18"/>
        </w:rPr>
        <w:t>Enable Banking confirms that a sign-in link is on its way</w:t>
      </w:r>
    </w:p>
    <w:p>
      <w:r>
        <w:t>Go back to your mail app and open the second message from Enable Banking. Click “Sign in to Enable Banking”.</w:t>
      </w:r>
    </w:p>
    <w:p>
      <w:pPr>
        <w:jc w:val="center"/>
      </w:pPr>
      <w:r>
        <w:drawing>
          <wp:inline xmlns:a="http://schemas.openxmlformats.org/drawingml/2006/main" xmlns:pic="http://schemas.openxmlformats.org/drawingml/2006/picture">
            <wp:extent cx="5486400" cy="1669605"/>
            <wp:docPr id="5" name="Picture 5"/>
            <wp:cNvGraphicFramePr>
              <a:graphicFrameLocks noChangeAspect="1"/>
            </wp:cNvGraphicFramePr>
            <a:graphic>
              <a:graphicData uri="http://schemas.openxmlformats.org/drawingml/2006/picture">
                <pic:pic>
                  <pic:nvPicPr>
                    <pic:cNvPr id="0" name="image5.png"/>
                    <pic:cNvPicPr/>
                  </pic:nvPicPr>
                  <pic:blipFill>
                    <a:blip r:embed="rId13"/>
                    <a:stretch>
                      <a:fillRect/>
                    </a:stretch>
                  </pic:blipFill>
                  <pic:spPr>
                    <a:xfrm>
                      <a:off x="0" y="0"/>
                      <a:ext cx="5486400" cy="1669605"/>
                    </a:xfrm>
                    <a:prstGeom prst="rect"/>
                  </pic:spPr>
                </pic:pic>
              </a:graphicData>
            </a:graphic>
          </wp:inline>
        </w:drawing>
      </w:r>
    </w:p>
    <w:p>
      <w:pPr>
        <w:jc w:val="center"/>
      </w:pPr>
      <w:r>
        <w:rPr>
          <w:i/>
          <w:color w:val="666666"/>
          <w:sz w:val="18"/>
        </w:rPr>
        <w:t>Signed in</w:t>
      </w:r>
    </w:p>
    <w:p>
      <w:r>
        <w:rPr>
          <w:i/>
          <w:color w:val="444444"/>
        </w:rPr>
        <w:t>There is no password. Signing in always works by email link, which means every sign-in is a two-factor step through your mailbox. Keep access to that mailbox.</w:t>
      </w:r>
    </w:p>
    <w:p>
      <w:pPr>
        <w:pStyle w:val="Heading1"/>
      </w:pPr>
      <w:r>
        <w:t>3. Create the API application</w:t>
      </w:r>
    </w:p>
    <w:p>
      <w:r>
        <w:t>Click API applications, then add a new application. This is where the redirect URL is needed.</w:t>
      </w:r>
    </w:p>
    <w:p>
      <w:pPr>
        <w:jc w:val="center"/>
      </w:pPr>
      <w:r>
        <w:drawing>
          <wp:inline xmlns:a="http://schemas.openxmlformats.org/drawingml/2006/main" xmlns:pic="http://schemas.openxmlformats.org/drawingml/2006/picture">
            <wp:extent cx="5486400" cy="4145280"/>
            <wp:docPr id="6" name="Picture 6"/>
            <wp:cNvGraphicFramePr>
              <a:graphicFrameLocks noChangeAspect="1"/>
            </wp:cNvGraphicFramePr>
            <a:graphic>
              <a:graphicData uri="http://schemas.openxmlformats.org/drawingml/2006/picture">
                <pic:pic>
                  <pic:nvPicPr>
                    <pic:cNvPr id="0" name="image6.png"/>
                    <pic:cNvPicPr/>
                  </pic:nvPicPr>
                  <pic:blipFill>
                    <a:blip r:embed="rId14"/>
                    <a:stretch>
                      <a:fillRect/>
                    </a:stretch>
                  </pic:blipFill>
                  <pic:spPr>
                    <a:xfrm>
                      <a:off x="0" y="0"/>
                      <a:ext cx="5486400" cy="4145280"/>
                    </a:xfrm>
                    <a:prstGeom prst="rect"/>
                  </pic:spPr>
                </pic:pic>
              </a:graphicData>
            </a:graphic>
          </wp:inline>
        </w:drawing>
      </w:r>
    </w:p>
    <w:p>
      <w:pPr>
        <w:jc w:val="center"/>
      </w:pPr>
      <w:r>
        <w:rPr>
          <w:i/>
          <w:color w:val="666666"/>
          <w:sz w:val="18"/>
        </w:rPr>
        <w:t>The new-application form, filled in as an example</w:t>
      </w:r>
    </w:p>
    <w:p>
      <w:r>
        <w:t>The privacy and terms fields can stay as placeholders — https://example.org/privacy and https://example.org/terms are fine.</w:t>
      </w:r>
    </w:p>
    <w:p>
      <w:r>
        <w:rPr>
          <w:b/>
          <w:color w:val="A03000"/>
        </w:rPr>
        <w:t>⚠  The redirect URL must end in /connect/callback, and it must match the address you use to reach the dashboard exactly — scheme, host, port, and no trailing slash. If the two differ by a single character, the bank refuses the handover and the error it shows names nothing useful.</w:t>
      </w:r>
    </w:p>
    <w:p>
      <w:r>
        <w:t>Choose Production as the environment. “Restricted mode” is a state of a production application, not a separate environment, and it skips the manual review.</w:t>
      </w:r>
    </w:p>
    <w:p>
      <w:r>
        <w:t>Once created, the application looks like this:</w:t>
      </w:r>
    </w:p>
    <w:p>
      <w:pPr>
        <w:jc w:val="center"/>
      </w:pPr>
      <w:r>
        <w:drawing>
          <wp:inline xmlns:a="http://schemas.openxmlformats.org/drawingml/2006/main" xmlns:pic="http://schemas.openxmlformats.org/drawingml/2006/picture">
            <wp:extent cx="5486400" cy="4347869"/>
            <wp:docPr id="7" name="Picture 7"/>
            <wp:cNvGraphicFramePr>
              <a:graphicFrameLocks noChangeAspect="1"/>
            </wp:cNvGraphicFramePr>
            <a:graphic>
              <a:graphicData uri="http://schemas.openxmlformats.org/drawingml/2006/picture">
                <pic:pic>
                  <pic:nvPicPr>
                    <pic:cNvPr id="0" name="image7.png"/>
                    <pic:cNvPicPr/>
                  </pic:nvPicPr>
                  <pic:blipFill>
                    <a:blip r:embed="rId15"/>
                    <a:stretch>
                      <a:fillRect/>
                    </a:stretch>
                  </pic:blipFill>
                  <pic:spPr>
                    <a:xfrm>
                      <a:off x="0" y="0"/>
                      <a:ext cx="5486400" cy="4347869"/>
                    </a:xfrm>
                    <a:prstGeom prst="rect"/>
                  </pic:spPr>
                </pic:pic>
              </a:graphicData>
            </a:graphic>
          </wp:inline>
        </w:drawing>
      </w:r>
    </w:p>
    <w:p>
      <w:pPr>
        <w:jc w:val="center"/>
      </w:pPr>
      <w:r>
        <w:rPr>
          <w:i/>
          <w:color w:val="666666"/>
          <w:sz w:val="18"/>
        </w:rPr>
        <w:t>The application, created</w:t>
      </w:r>
    </w:p>
    <w:p>
      <w:r>
        <w:t>Two things on this page matter later:</w:t>
      </w:r>
    </w:p>
    <w:p>
      <w:pPr>
        <w:pStyle w:val="ListBullet"/>
      </w:pPr>
      <w:r>
        <w:t>The Application ID — shown as the application's Name, a UUID such as 48eeb369-4a85-41c1-997e-0bc382f0b635.</w:t>
      </w:r>
    </w:p>
    <w:p>
      <w:pPr>
        <w:pStyle w:val="ListBullet"/>
      </w:pPr>
      <w:r>
        <w:t>The PEM file your browser has just downloaded. That file is your private key. It is named after the application, so the filename is the Application ID with .pem on the end.</w:t>
      </w:r>
    </w:p>
    <w:p>
      <w:pPr>
        <w:jc w:val="center"/>
      </w:pPr>
      <w:r>
        <w:drawing>
          <wp:inline xmlns:a="http://schemas.openxmlformats.org/drawingml/2006/main" xmlns:pic="http://schemas.openxmlformats.org/drawingml/2006/picture">
            <wp:extent cx="5486400" cy="935665"/>
            <wp:docPr id="8" name="Picture 8"/>
            <wp:cNvGraphicFramePr>
              <a:graphicFrameLocks noChangeAspect="1"/>
            </wp:cNvGraphicFramePr>
            <a:graphic>
              <a:graphicData uri="http://schemas.openxmlformats.org/drawingml/2006/picture">
                <pic:pic>
                  <pic:nvPicPr>
                    <pic:cNvPr id="0" name="image8.png"/>
                    <pic:cNvPicPr/>
                  </pic:nvPicPr>
                  <pic:blipFill>
                    <a:blip r:embed="rId16"/>
                    <a:stretch>
                      <a:fillRect/>
                    </a:stretch>
                  </pic:blipFill>
                  <pic:spPr>
                    <a:xfrm>
                      <a:off x="0" y="0"/>
                      <a:ext cx="5486400" cy="935665"/>
                    </a:xfrm>
                    <a:prstGeom prst="rect"/>
                  </pic:spPr>
                </pic:pic>
              </a:graphicData>
            </a:graphic>
          </wp:inline>
        </w:drawing>
      </w:r>
    </w:p>
    <w:p>
      <w:pPr>
        <w:jc w:val="center"/>
      </w:pPr>
      <w:r>
        <w:rPr>
          <w:i/>
          <w:color w:val="666666"/>
          <w:sz w:val="18"/>
        </w:rPr>
        <w:t>The downloaded PEM file</w:t>
      </w:r>
    </w:p>
    <w:p>
      <w:r>
        <w:t>Opened in a text editor, it looks like this — you will need the whole thing, including the BEGIN and END lines:</w:t>
      </w:r>
    </w:p>
    <w:p>
      <w:r>
        <w:rPr>
          <w:rFonts w:ascii="Consolas" w:hAnsi="Consolas"/>
          <w:sz w:val="16"/>
        </w:rPr>
        <w:t>-----BEGIN PRIVATE KEY-----</w:t>
        <w:br/>
        <w:t>MIIJQgIBADANBgkqhkiG9w0BAQEFAASCCSwwggkoAgEAAoICAQDKyb0nz2MEx3uK</w:t>
        <w:br/>
        <w:t>(… about fifty more lines of base64 …)</w:t>
        <w:br/>
        <w:t>THIS IS ONLY AN EXAMPLE — YOUR OWN FILE CONTAINS YOUR REAL KEY</w:t>
        <w:br/>
        <w:t>QNMIwFEpnn4soNNGNQVR5gNxbwMuVw==</w:t>
        <w:br/>
        <w:t>-----END PRIVATE KEY-----</w:t>
      </w:r>
    </w:p>
    <w:p>
      <w:r>
        <w:rPr>
          <w:b/>
          <w:color w:val="A03000"/>
        </w:rPr>
        <w:t>⚠  This key is the credential. Anyone who has it and your Application ID can ask your bank for your transactions until the consent expires. Keep it out of documents you share, out of chat messages, and out of backups you do not control. If one ever leaks, delete the application in the Control Panel and create a new one — that is the only way to revoke it.</w:t>
      </w:r>
    </w:p>
    <w:p>
      <w:r>
        <w:rPr>
          <w:i/>
          <w:color w:val="444444"/>
        </w:rPr>
        <w:t>If you would rather supply your own key than let the Control Panel generate one, create it with: openssl genrsa -out enablebanking_private.key 4096 — then openssl rsa -in enablebanking_private.key -pubout -out enablebanking_public.pem, and upload only the public half. Do not paste the public file into the dashboard; it needs the private one.</w:t>
      </w:r>
    </w:p>
    <w:p>
      <w:pPr>
        <w:pStyle w:val="Heading1"/>
      </w:pPr>
      <w:r>
        <w:t>4. Link your bank accounts to the application</w:t>
      </w:r>
    </w:p>
    <w:p>
      <w:r>
        <w:t>Click “Activate by linking accounts”, then choose your country and the bank you want to connect.</w:t>
      </w:r>
    </w:p>
    <w:p>
      <w:pPr>
        <w:jc w:val="center"/>
      </w:pPr>
      <w:r>
        <w:drawing>
          <wp:inline xmlns:a="http://schemas.openxmlformats.org/drawingml/2006/main" xmlns:pic="http://schemas.openxmlformats.org/drawingml/2006/picture">
            <wp:extent cx="5486400" cy="1084269"/>
            <wp:docPr id="9" name="Picture 9"/>
            <wp:cNvGraphicFramePr>
              <a:graphicFrameLocks noChangeAspect="1"/>
            </wp:cNvGraphicFramePr>
            <a:graphic>
              <a:graphicData uri="http://schemas.openxmlformats.org/drawingml/2006/picture">
                <pic:pic>
                  <pic:nvPicPr>
                    <pic:cNvPr id="0" name="image9.png"/>
                    <pic:cNvPicPr/>
                  </pic:nvPicPr>
                  <pic:blipFill>
                    <a:blip r:embed="rId17"/>
                    <a:stretch>
                      <a:fillRect/>
                    </a:stretch>
                  </pic:blipFill>
                  <pic:spPr>
                    <a:xfrm>
                      <a:off x="0" y="0"/>
                      <a:ext cx="5486400" cy="1084269"/>
                    </a:xfrm>
                    <a:prstGeom prst="rect"/>
                  </pic:spPr>
                </pic:pic>
              </a:graphicData>
            </a:graphic>
          </wp:inline>
        </w:drawing>
      </w:r>
    </w:p>
    <w:p>
      <w:pPr>
        <w:jc w:val="center"/>
      </w:pPr>
      <w:r>
        <w:rPr>
          <w:i/>
          <w:color w:val="666666"/>
          <w:sz w:val="18"/>
        </w:rPr>
        <w:t>Choosing a country and a bank</w:t>
      </w:r>
    </w:p>
    <w:p>
      <w:r>
        <w:t>Every bank available in your country is listed. PayPal and Wise work here too. This is a European system built on PSD2 — you will not find US banks.</w:t>
      </w:r>
    </w:p>
    <w:p>
      <w:r>
        <w:t>Enable Banking then walks you through your own bank's usual authorisation flow, which looks slightly different at every bank but is the same process you already know from releasing a transfer. When it finishes, the account shows as linked, and if you hold several sub-accounts at that bank all of them are linked at once.</w:t>
      </w:r>
    </w:p>
    <w:p>
      <w:r>
        <w:rPr>
          <w:b/>
          <w:color w:val="A03000"/>
        </w:rPr>
        <w:t>⚠  Do not skip this step. An application with no linked accounts returns an empty list later, which reads like a bug in the dashboard and is not one.</w:t>
      </w:r>
    </w:p>
    <w:p>
      <w:pPr>
        <w:pStyle w:val="Heading1"/>
      </w:pPr>
      <w:r>
        <w:t>5. Enter the credentials in the dashboard</w:t>
      </w:r>
    </w:p>
    <w:p>
      <w:r>
        <w:t>Back in the Wealth Dashboard, open Settings.</w:t>
      </w:r>
    </w:p>
    <w:p>
      <w:r>
        <w:t>Under Redirect URL, enter the same address you registered with Enable Banking — character for character.</w:t>
      </w:r>
    </w:p>
    <w:p>
      <w:pPr>
        <w:jc w:val="center"/>
      </w:pPr>
      <w:r>
        <w:drawing>
          <wp:inline xmlns:a="http://schemas.openxmlformats.org/drawingml/2006/main" xmlns:pic="http://schemas.openxmlformats.org/drawingml/2006/picture">
            <wp:extent cx="5486400" cy="2897495"/>
            <wp:docPr id="10" name="Picture 10"/>
            <wp:cNvGraphicFramePr>
              <a:graphicFrameLocks noChangeAspect="1"/>
            </wp:cNvGraphicFramePr>
            <a:graphic>
              <a:graphicData uri="http://schemas.openxmlformats.org/drawingml/2006/picture">
                <pic:pic>
                  <pic:nvPicPr>
                    <pic:cNvPr id="0" name="image10.png"/>
                    <pic:cNvPicPr/>
                  </pic:nvPicPr>
                  <pic:blipFill>
                    <a:blip r:embed="rId18"/>
                    <a:stretch>
                      <a:fillRect/>
                    </a:stretch>
                  </pic:blipFill>
                  <pic:spPr>
                    <a:xfrm>
                      <a:off x="0" y="0"/>
                      <a:ext cx="5486400" cy="2897495"/>
                    </a:xfrm>
                    <a:prstGeom prst="rect"/>
                  </pic:spPr>
                </pic:pic>
              </a:graphicData>
            </a:graphic>
          </wp:inline>
        </w:drawing>
      </w:r>
    </w:p>
    <w:p>
      <w:pPr>
        <w:jc w:val="center"/>
      </w:pPr>
      <w:r>
        <w:rPr>
          <w:i/>
          <w:color w:val="666666"/>
          <w:sz w:val="18"/>
        </w:rPr>
        <w:t>Settings — the redirect URL</w:t>
      </w:r>
    </w:p>
    <w:p>
      <w:r>
        <w:t>Below that, enter the Application ID, and paste the entire contents of the PEM file into the private key field, including the BEGIN and END lines.</w:t>
      </w:r>
    </w:p>
    <w:p>
      <w:pPr>
        <w:jc w:val="center"/>
      </w:pPr>
      <w:r>
        <w:drawing>
          <wp:inline xmlns:a="http://schemas.openxmlformats.org/drawingml/2006/main" xmlns:pic="http://schemas.openxmlformats.org/drawingml/2006/picture">
            <wp:extent cx="5486400" cy="4157766"/>
            <wp:docPr id="11" name="Picture 11"/>
            <wp:cNvGraphicFramePr>
              <a:graphicFrameLocks noChangeAspect="1"/>
            </wp:cNvGraphicFramePr>
            <a:graphic>
              <a:graphicData uri="http://schemas.openxmlformats.org/drawingml/2006/picture">
                <pic:pic>
                  <pic:nvPicPr>
                    <pic:cNvPr id="0" name="image11.png"/>
                    <pic:cNvPicPr/>
                  </pic:nvPicPr>
                  <pic:blipFill>
                    <a:blip r:embed="rId19"/>
                    <a:stretch>
                      <a:fillRect/>
                    </a:stretch>
                  </pic:blipFill>
                  <pic:spPr>
                    <a:xfrm>
                      <a:off x="0" y="0"/>
                      <a:ext cx="5486400" cy="4157766"/>
                    </a:xfrm>
                    <a:prstGeom prst="rect"/>
                  </pic:spPr>
                </pic:pic>
              </a:graphicData>
            </a:graphic>
          </wp:inline>
        </w:drawing>
      </w:r>
    </w:p>
    <w:p>
      <w:pPr>
        <w:jc w:val="center"/>
      </w:pPr>
      <w:r>
        <w:rPr>
          <w:i/>
          <w:color w:val="666666"/>
          <w:sz w:val="18"/>
        </w:rPr>
        <w:t>Settings — Application ID and private key</w:t>
      </w:r>
    </w:p>
    <w:p>
      <w:r>
        <w:rPr>
          <w:i/>
          <w:color w:val="444444"/>
        </w:rPr>
        <w:t>After you save, the key is never shown again. Coming back to this page later will show an empty field, which is deliberate: the dashboard stores it with 0600 permissions and does not hand it back to a browser. To replace it, paste a new one over the top.</w:t>
      </w:r>
    </w:p>
    <w:p>
      <w:r>
        <w:t>Save. The dashboard checks the credentials against Enable Banking immediately and tells you what it found. This is what success looks like:</w:t>
      </w:r>
    </w:p>
    <w:p>
      <w:pPr>
        <w:jc w:val="center"/>
      </w:pPr>
      <w:r>
        <w:drawing>
          <wp:inline xmlns:a="http://schemas.openxmlformats.org/drawingml/2006/main" xmlns:pic="http://schemas.openxmlformats.org/drawingml/2006/picture">
            <wp:extent cx="5486400" cy="275340"/>
            <wp:docPr id="12" name="Picture 12"/>
            <wp:cNvGraphicFramePr>
              <a:graphicFrameLocks noChangeAspect="1"/>
            </wp:cNvGraphicFramePr>
            <a:graphic>
              <a:graphicData uri="http://schemas.openxmlformats.org/drawingml/2006/picture">
                <pic:pic>
                  <pic:nvPicPr>
                    <pic:cNvPr id="0" name="image12.png"/>
                    <pic:cNvPicPr/>
                  </pic:nvPicPr>
                  <pic:blipFill>
                    <a:blip r:embed="rId20"/>
                    <a:stretch>
                      <a:fillRect/>
                    </a:stretch>
                  </pic:blipFill>
                  <pic:spPr>
                    <a:xfrm>
                      <a:off x="0" y="0"/>
                      <a:ext cx="5486400" cy="275340"/>
                    </a:xfrm>
                    <a:prstGeom prst="rect"/>
                  </pic:spPr>
                </pic:pic>
              </a:graphicData>
            </a:graphic>
          </wp:inline>
        </w:drawing>
      </w:r>
    </w:p>
    <w:p>
      <w:pPr>
        <w:jc w:val="center"/>
      </w:pPr>
      <w:r>
        <w:rPr>
          <w:i/>
          <w:color w:val="666666"/>
          <w:sz w:val="18"/>
        </w:rPr>
        <w:t>Working, and the redirect URLs that are registered</w:t>
      </w:r>
    </w:p>
    <w:p>
      <w:pPr>
        <w:pStyle w:val="Heading1"/>
      </w:pPr>
      <w:r>
        <w:t>6. Create an account and connect it</w:t>
      </w:r>
    </w:p>
    <w:p>
      <w:r>
        <w:t>Nothing is connected yet. Go to Accounts and click Add an account.</w:t>
      </w:r>
    </w:p>
    <w:p>
      <w:pPr>
        <w:jc w:val="center"/>
      </w:pPr>
      <w:r>
        <w:drawing>
          <wp:inline xmlns:a="http://schemas.openxmlformats.org/drawingml/2006/main" xmlns:pic="http://schemas.openxmlformats.org/drawingml/2006/picture">
            <wp:extent cx="5486400" cy="1472339"/>
            <wp:docPr id="13" name="Picture 13"/>
            <wp:cNvGraphicFramePr>
              <a:graphicFrameLocks noChangeAspect="1"/>
            </wp:cNvGraphicFramePr>
            <a:graphic>
              <a:graphicData uri="http://schemas.openxmlformats.org/drawingml/2006/picture">
                <pic:pic>
                  <pic:nvPicPr>
                    <pic:cNvPr id="0" name="image13.png"/>
                    <pic:cNvPicPr/>
                  </pic:nvPicPr>
                  <pic:blipFill>
                    <a:blip r:embed="rId21"/>
                    <a:stretch>
                      <a:fillRect/>
                    </a:stretch>
                  </pic:blipFill>
                  <pic:spPr>
                    <a:xfrm>
                      <a:off x="0" y="0"/>
                      <a:ext cx="5486400" cy="1472339"/>
                    </a:xfrm>
                    <a:prstGeom prst="rect"/>
                  </pic:spPr>
                </pic:pic>
              </a:graphicData>
            </a:graphic>
          </wp:inline>
        </w:drawing>
      </w:r>
    </w:p>
    <w:p>
      <w:pPr>
        <w:jc w:val="center"/>
      </w:pPr>
      <w:r>
        <w:rPr>
          <w:i/>
          <w:color w:val="666666"/>
          <w:sz w:val="18"/>
        </w:rPr>
        <w:t>Accounts, still empty</w:t>
      </w:r>
    </w:p>
    <w:p>
      <w:r>
        <w:t>Give it a name you will recognise, a type and a currency.</w:t>
      </w:r>
    </w:p>
    <w:p>
      <w:pPr>
        <w:jc w:val="center"/>
      </w:pPr>
      <w:r>
        <w:drawing>
          <wp:inline xmlns:a="http://schemas.openxmlformats.org/drawingml/2006/main" xmlns:pic="http://schemas.openxmlformats.org/drawingml/2006/picture">
            <wp:extent cx="5486400" cy="3929974"/>
            <wp:docPr id="14" name="Picture 14"/>
            <wp:cNvGraphicFramePr>
              <a:graphicFrameLocks noChangeAspect="1"/>
            </wp:cNvGraphicFramePr>
            <a:graphic>
              <a:graphicData uri="http://schemas.openxmlformats.org/drawingml/2006/picture">
                <pic:pic>
                  <pic:nvPicPr>
                    <pic:cNvPr id="0" name="image14.png"/>
                    <pic:cNvPicPr/>
                  </pic:nvPicPr>
                  <pic:blipFill>
                    <a:blip r:embed="rId22"/>
                    <a:stretch>
                      <a:fillRect/>
                    </a:stretch>
                  </pic:blipFill>
                  <pic:spPr>
                    <a:xfrm>
                      <a:off x="0" y="0"/>
                      <a:ext cx="5486400" cy="3929974"/>
                    </a:xfrm>
                    <a:prstGeom prst="rect"/>
                  </pic:spPr>
                </pic:pic>
              </a:graphicData>
            </a:graphic>
          </wp:inline>
        </w:drawing>
      </w:r>
    </w:p>
    <w:p>
      <w:pPr>
        <w:jc w:val="center"/>
      </w:pPr>
      <w:r>
        <w:rPr>
          <w:i/>
          <w:color w:val="666666"/>
          <w:sz w:val="18"/>
        </w:rPr>
        <w:t>Naming the account</w:t>
      </w:r>
    </w:p>
    <w:p>
      <w:pPr>
        <w:jc w:val="center"/>
      </w:pPr>
      <w:r>
        <w:drawing>
          <wp:inline xmlns:a="http://schemas.openxmlformats.org/drawingml/2006/main" xmlns:pic="http://schemas.openxmlformats.org/drawingml/2006/picture">
            <wp:extent cx="5486400" cy="2685361"/>
            <wp:docPr id="15" name="Picture 15"/>
            <wp:cNvGraphicFramePr>
              <a:graphicFrameLocks noChangeAspect="1"/>
            </wp:cNvGraphicFramePr>
            <a:graphic>
              <a:graphicData uri="http://schemas.openxmlformats.org/drawingml/2006/picture">
                <pic:pic>
                  <pic:nvPicPr>
                    <pic:cNvPr id="0" name="image15.png"/>
                    <pic:cNvPicPr/>
                  </pic:nvPicPr>
                  <pic:blipFill>
                    <a:blip r:embed="rId23"/>
                    <a:stretch>
                      <a:fillRect/>
                    </a:stretch>
                  </pic:blipFill>
                  <pic:spPr>
                    <a:xfrm>
                      <a:off x="0" y="0"/>
                      <a:ext cx="5486400" cy="2685361"/>
                    </a:xfrm>
                    <a:prstGeom prst="rect"/>
                  </pic:spPr>
                </pic:pic>
              </a:graphicData>
            </a:graphic>
          </wp:inline>
        </w:drawing>
      </w:r>
    </w:p>
    <w:p>
      <w:pPr>
        <w:jc w:val="center"/>
      </w:pPr>
      <w:r>
        <w:rPr>
          <w:i/>
          <w:color w:val="666666"/>
          <w:sz w:val="18"/>
        </w:rPr>
        <w:t>The account types available</w:t>
      </w:r>
    </w:p>
    <w:p>
      <w:r>
        <w:t>That lands you on the account's own page, where the Bank connection card offers Connect a bank.</w:t>
      </w:r>
    </w:p>
    <w:p>
      <w:pPr>
        <w:jc w:val="center"/>
      </w:pPr>
      <w:r>
        <w:drawing>
          <wp:inline xmlns:a="http://schemas.openxmlformats.org/drawingml/2006/main" xmlns:pic="http://schemas.openxmlformats.org/drawingml/2006/picture">
            <wp:extent cx="5486400" cy="3942769"/>
            <wp:docPr id="16" name="Picture 16"/>
            <wp:cNvGraphicFramePr>
              <a:graphicFrameLocks noChangeAspect="1"/>
            </wp:cNvGraphicFramePr>
            <a:graphic>
              <a:graphicData uri="http://schemas.openxmlformats.org/drawingml/2006/picture">
                <pic:pic>
                  <pic:nvPicPr>
                    <pic:cNvPr id="0" name="image16.png"/>
                    <pic:cNvPicPr/>
                  </pic:nvPicPr>
                  <pic:blipFill>
                    <a:blip r:embed="rId24"/>
                    <a:stretch>
                      <a:fillRect/>
                    </a:stretch>
                  </pic:blipFill>
                  <pic:spPr>
                    <a:xfrm>
                      <a:off x="0" y="0"/>
                      <a:ext cx="5486400" cy="3942769"/>
                    </a:xfrm>
                    <a:prstGeom prst="rect"/>
                  </pic:spPr>
                </pic:pic>
              </a:graphicData>
            </a:graphic>
          </wp:inline>
        </w:drawing>
      </w:r>
    </w:p>
    <w:p>
      <w:pPr>
        <w:jc w:val="center"/>
      </w:pPr>
      <w:r>
        <w:rPr>
          <w:i/>
          <w:color w:val="666666"/>
          <w:sz w:val="18"/>
        </w:rPr>
        <w:t>The account page, before anything is connected</w:t>
      </w:r>
    </w:p>
    <w:p>
      <w:r>
        <w:t>Choose the country, then either browse the list or search for your bank by name.</w:t>
      </w:r>
    </w:p>
    <w:p>
      <w:pPr>
        <w:jc w:val="center"/>
      </w:pPr>
      <w:r>
        <w:drawing>
          <wp:inline xmlns:a="http://schemas.openxmlformats.org/drawingml/2006/main" xmlns:pic="http://schemas.openxmlformats.org/drawingml/2006/picture">
            <wp:extent cx="5486400" cy="2119283"/>
            <wp:docPr id="17" name="Picture 17"/>
            <wp:cNvGraphicFramePr>
              <a:graphicFrameLocks noChangeAspect="1"/>
            </wp:cNvGraphicFramePr>
            <a:graphic>
              <a:graphicData uri="http://schemas.openxmlformats.org/drawingml/2006/picture">
                <pic:pic>
                  <pic:nvPicPr>
                    <pic:cNvPr id="0" name="image17.png"/>
                    <pic:cNvPicPr/>
                  </pic:nvPicPr>
                  <pic:blipFill>
                    <a:blip r:embed="rId25"/>
                    <a:stretch>
                      <a:fillRect/>
                    </a:stretch>
                  </pic:blipFill>
                  <pic:spPr>
                    <a:xfrm>
                      <a:off x="0" y="0"/>
                      <a:ext cx="5486400" cy="2119283"/>
                    </a:xfrm>
                    <a:prstGeom prst="rect"/>
                  </pic:spPr>
                </pic:pic>
              </a:graphicData>
            </a:graphic>
          </wp:inline>
        </w:drawing>
      </w:r>
    </w:p>
    <w:p>
      <w:pPr>
        <w:jc w:val="center"/>
      </w:pPr>
      <w:r>
        <w:rPr>
          <w:i/>
          <w:color w:val="666666"/>
          <w:sz w:val="18"/>
        </w:rPr>
        <w:t>Connect a bank — by country, or by search</w:t>
      </w:r>
    </w:p>
    <w:p>
      <w:r>
        <w:rPr>
          <w:i/>
          <w:color w:val="444444"/>
        </w:rPr>
        <w:t>If sandbox banks appear in the list, connect one of those first. A sandbox walks the identical flow with the provider's test credentials and creates no consent at a real bank — so if your redirect URL is registered wrongly, you find out there instead of by spending an authorisation you rely on.</w:t>
      </w:r>
    </w:p>
    <w:p>
      <w:r>
        <w:t>Click Connect on your bank. This starts the same authorisation process as in step 4, ending at your bank and coming back to the dashboard.</w:t>
      </w:r>
    </w:p>
    <w:p>
      <w:r>
        <w:t>In this example the bank holds two sub-accounts. The first connection synced only one of them — go back to Accounts and you will see all of them, and you can sync each one.</w:t>
      </w:r>
    </w:p>
    <w:p>
      <w:pPr>
        <w:pStyle w:val="Heading1"/>
      </w:pPr>
      <w:r>
        <w:t>7. Afterwards</w:t>
      </w:r>
    </w:p>
    <w:p>
      <w:pPr>
        <w:pStyle w:val="ListBullet"/>
      </w:pPr>
      <w:r>
        <w:t>The consent lasts 90 days. That is a PSD2 rule, not a choice the dashboard makes. It warns you before the consent expires rather than after, and reconnecting is the same three clicks.</w:t>
      </w:r>
    </w:p>
    <w:p>
      <w:pPr>
        <w:pStyle w:val="ListBullet"/>
      </w:pPr>
      <w:r>
        <w:t>Re-syncing is safe. Every transaction carries an id, so pulling an overlapping period again changes nothing.</w:t>
      </w:r>
    </w:p>
    <w:p>
      <w:pPr>
        <w:pStyle w:val="ListBullet"/>
      </w:pPr>
      <w:r>
        <w:t>If the bank leaves you on a page that will not load, that is the https-only redirect problem. The authorisation code is in the address bar of that dead page: copy the whole address and paste it into the dashboard under Finish connecting by hand.</w:t>
      </w:r>
    </w:p>
    <w:p>
      <w:pPr>
        <w:pStyle w:val="Heading1"/>
      </w:pPr>
      <w:r>
        <w:t>If something goes wrong</w:t>
      </w:r>
    </w:p>
    <w:p>
      <w:pPr>
        <w:pStyle w:val="ListBullet"/>
      </w:pPr>
      <w:r>
        <w:t>“No accounts returned” — almost always the linking step in section 4, not the dashboard.</w:t>
      </w:r>
    </w:p>
    <w:p>
      <w:pPr>
        <w:pStyle w:val="ListBullet"/>
      </w:pPr>
      <w:r>
        <w:t>The bank refuses the handover — the redirect URL registered with Enable Banking does not match the one the dashboard sent, exactly. Check for a trailing slash, http against https, and the port.</w:t>
      </w:r>
    </w:p>
    <w:p>
      <w:pPr>
        <w:pStyle w:val="ListBullet"/>
      </w:pPr>
      <w:r>
        <w:t>Nothing happens after you approve at the bank — you are on the dead page described above. Use the paste route.</w:t>
      </w:r>
    </w:p>
    <w:p>
      <w:pPr>
        <w:pStyle w:val="ListBullet"/>
      </w:pPr>
      <w:r>
        <w:t>The key field is empty in Settings — that is correct after the first save. It does not mean the key was lost.</w:t>
      </w:r>
    </w:p>
    <w:p>
      <w:r>
        <w:t>Good luck.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