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569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National University of Singapore, Faculty of Law </w:t>
      </w:r>
    </w:p>
    <w:p w14:paraId="715DC7FA" w14:textId="6D813800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Corporate Law and Economics,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35CDBBF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0B05C7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The Economic Approach to Corporate Law (Seminars 1 and 2)</w:t>
      </w:r>
    </w:p>
    <w:p w14:paraId="78D8902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2720291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. </w:t>
      </w:r>
    </w:p>
    <w:p w14:paraId="17D49B3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52525FBF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What is Law and Economics (“L&amp;E”)?</w:t>
      </w:r>
    </w:p>
    <w:p w14:paraId="3D2FFE06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75310BA3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Cooter, Robert and Ulen, Thomas, "Law and Economics, 6th edition" (2016). Berkeley Law Books. Book 2. (Chapter 1, pp 1-10) (uploaded on Canvas)</w:t>
      </w:r>
    </w:p>
    <w:p w14:paraId="759855C9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Cooter, Robert and Ulen, Thomas, "Law and Economics, 6th edition" (2016). Berkeley Law Books. Book 2. (Chapter 2, pp 11-54) (uploaded on 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Canvas)*</w:t>
      </w:r>
      <w:proofErr w:type="gramEnd"/>
    </w:p>
    <w:p w14:paraId="701FFDAC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Milton Friedman, “The Methodology of Positive Economics”, in Essays in Positive Economics (University of Chicago Press, Chicago, 1953) (uploaded on 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Canvas)*</w:t>
      </w:r>
      <w:proofErr w:type="gramEnd"/>
    </w:p>
    <w:p w14:paraId="1653A0D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214E9E4B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Exchange and The Coase Theorem</w:t>
      </w:r>
    </w:p>
    <w:p w14:paraId="601B679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16618BC9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Cooter, Robert and Ulen, Thomas, "Law and Economics, 6th edition" (2016). Berkeley Law Books. Book 2. (Chapter 4, pp 70-94) (uploaded on Canvas)</w:t>
      </w:r>
    </w:p>
    <w:p w14:paraId="373C4A87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Cooter, Robert and Ulen, Thomas, "Law and Economics, 6th edition" (2016). Berkeley Law Books. Book 2. (Chapter 8, pp 276-287) (uploaded on Canvas)</w:t>
      </w:r>
    </w:p>
    <w:p w14:paraId="1F03F2D7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Ron Coase, “The Problem of Social Cost” (1960), 3 Journal of Law &amp; Economics 1-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44.*</w:t>
      </w:r>
      <w:proofErr w:type="gramEnd"/>
    </w:p>
    <w:p w14:paraId="7587D4C1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Ron Coase, “The Nature of the Firm” (1937), 4:16 Economica 386-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405.*</w:t>
      </w:r>
      <w:proofErr w:type="gramEnd"/>
    </w:p>
    <w:p w14:paraId="76F9E83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6C4EB323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L&amp;E and its Relationship with Corporate Law</w:t>
      </w:r>
    </w:p>
    <w:p w14:paraId="223B3D3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55A8A91E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Easterbrook, Frank H., and Daniel R. Fischel. The Economic Structure of Corporate Law. Harvard University Press, 1996. (Chapter 1, pp 1-39)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(read pp 1-15, 22-35)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(uploaded on Canvas)</w:t>
      </w:r>
    </w:p>
    <w:p w14:paraId="426CD5F1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(Chapter 1, pp 1-15) (uploaded on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Canvas)*</w:t>
      </w:r>
      <w:proofErr w:type="gramEnd"/>
    </w:p>
    <w:p w14:paraId="6458438F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2924A9F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7E98C9C8" w14:textId="3D6D42CB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3604ED68" w14:textId="77777777" w:rsidR="00732537" w:rsidRDefault="00732537"/>
    <w:p w14:paraId="157E8581" w14:textId="31D45DD6" w:rsidR="006F2AC3" w:rsidRDefault="006F2AC3">
      <w:r>
        <w:br w:type="page"/>
      </w:r>
    </w:p>
    <w:p w14:paraId="5E686046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lastRenderedPageBreak/>
        <w:t xml:space="preserve">National University of Singapore, Faculty of Law </w:t>
      </w:r>
    </w:p>
    <w:p w14:paraId="65423409" w14:textId="6F9C90A7" w:rsidR="006F2AC3" w:rsidRPr="006F2AC3" w:rsidRDefault="0060002B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Corporate Law and Economics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37D32D4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3B7D3890" w14:textId="664002C4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 xml:space="preserve">The Theoretical Foundations of Corporate Law: Contractarian and Proprietary Approaches (Seminars </w:t>
      </w:r>
      <w:r w:rsidR="006F7F01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3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 xml:space="preserve"> and </w:t>
      </w:r>
      <w:r w:rsidR="006F7F01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4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)</w:t>
      </w:r>
    </w:p>
    <w:p w14:paraId="4DEFCD7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03AB4B2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bookmarkStart w:id="0" w:name="_Hlk110524310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. </w:t>
      </w:r>
    </w:p>
    <w:bookmarkEnd w:id="0"/>
    <w:p w14:paraId="5D6F75C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1806463C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The Contractarian Approach to Corporate Law</w:t>
      </w:r>
    </w:p>
    <w:p w14:paraId="43C137B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6682A7F0" w14:textId="77777777" w:rsidR="006F2AC3" w:rsidRPr="006F2AC3" w:rsidRDefault="006F2AC3" w:rsidP="006F2AC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An Overview of the Issues</w:t>
      </w:r>
    </w:p>
    <w:p w14:paraId="3D71A13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4B41AA12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kern w:val="0"/>
          <w:lang w:val="nb-NO"/>
          <w14:ligatures w14:val="none"/>
        </w:rPr>
        <w:t xml:space="preserve">Fama, Eugene F., and Michael C. Jensen. 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“Separation of Ownership and Control.”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The Journal of Law and Economics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26.2 (1983): 301-325.</w:t>
      </w:r>
    </w:p>
    <w:p w14:paraId="31264324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Easterbrook, Frank H., and Daniel R. Fischel.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Economic Structure of Corporate Law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 Harvard University Press, 1996. (Chapter 1, pp 1-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39)*</w:t>
      </w:r>
      <w:proofErr w:type="gramEnd"/>
    </w:p>
    <w:p w14:paraId="23EA8450" w14:textId="021A61F1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Khoo, Kenneth. “The Law and Economics of Shareholder Ideology” (2022), </w:t>
      </w:r>
      <w:r w:rsidR="00EC7D79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Forthcoming, </w:t>
      </w:r>
      <w:r w:rsidR="00EC7D79" w:rsidRPr="00EC7D79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European Business Organization Law Review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 (pp. 3-17)</w:t>
      </w:r>
    </w:p>
    <w:p w14:paraId="76E2A86E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Tjio, Hans, Pearlie Koh, and Pey-Woan Lee.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Corporate Law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. Academy Publishing, 2015. (Chapter 2, pp 21-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54)*</w:t>
      </w:r>
      <w:proofErr w:type="gramEnd"/>
    </w:p>
    <w:p w14:paraId="70648D1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5C8521B0" w14:textId="77777777" w:rsidR="006F2AC3" w:rsidRPr="006F2AC3" w:rsidRDefault="006F2AC3" w:rsidP="006F2AC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Departures from the Coase Theorem</w:t>
      </w:r>
    </w:p>
    <w:p w14:paraId="7A6A4CA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5B0B9C33" w14:textId="77777777" w:rsidR="006F2AC3" w:rsidRPr="006F2AC3" w:rsidRDefault="006F2AC3" w:rsidP="006F2AC3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Agency Costs and Information Asymmetry: Moral Hazard and Adverse Selection</w:t>
      </w:r>
    </w:p>
    <w:p w14:paraId="6774425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7222006F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et.al.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(Chapter 2, pp 29-47)</w:t>
      </w:r>
    </w:p>
    <w:p w14:paraId="1D7793B1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Jensen, Michael C., and William H. Meckling. “Theory of the Firm: Managerial Behavior, Agency Costs and Ownership Structure.”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Journal of Financial Economics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3.4 (1976): 305-360. (read pp 306-310, 312-313, 323-326) (focus on the textual explanations)</w:t>
      </w:r>
    </w:p>
    <w:p w14:paraId="0F69C066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Hansmann, Henry.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Ownership of Enterprise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 Harvard University Press, 2000. (Chapter 3, pp 35-38)</w:t>
      </w:r>
    </w:p>
    <w:p w14:paraId="6706CD63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Holmstrom, Bengt. “Moral Hazard in Teams.” 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The Bell Journal of Economics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 (1982): 324-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340.*</w:t>
      </w:r>
      <w:proofErr w:type="gramEnd"/>
    </w:p>
    <w:p w14:paraId="0B0241FC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Akerlof, George A. “The Market for ‘Lemons’: Quality Uncertainty and the Market Mechanism.” 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The Quarterly Journal of Economics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 (1970): 488-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500.*</w:t>
      </w:r>
      <w:proofErr w:type="gramEnd"/>
    </w:p>
    <w:p w14:paraId="70AA0D0D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Bolton, Patrick, and Mathias Dewatripont. 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Contract Theory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. MIT Press, 2004. (pp. 1-43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).*</w:t>
      </w:r>
      <w:proofErr w:type="gramEnd"/>
    </w:p>
    <w:p w14:paraId="46C3A7E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5B0C3BD4" w14:textId="77777777" w:rsidR="006F2AC3" w:rsidRPr="006F2AC3" w:rsidRDefault="006F2AC3" w:rsidP="006F2AC3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Incomplete Contracting and “</w:t>
      </w:r>
      <w:proofErr w:type="spellStart"/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Unforseeability</w:t>
      </w:r>
      <w:proofErr w:type="spellEnd"/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”</w:t>
      </w:r>
    </w:p>
    <w:p w14:paraId="7F600CB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22D53E2C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et.al.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(Chapter 1, pp 19-20)</w:t>
      </w:r>
    </w:p>
    <w:p w14:paraId="69BEE889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Hansmann, Henry. “Corporation and Contract.”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American Law and Economics Review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8.1 (2006): 1-19. (read pp 5-15)</w:t>
      </w:r>
    </w:p>
    <w:p w14:paraId="5BEBC5B5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Williamson, Oliver E. “Transaction-cost Economics: The Governance of Contractual Relations.” 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The Journal of Law and Economics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 22.2 (1979): 233-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261.*</w:t>
      </w:r>
      <w:proofErr w:type="gramEnd"/>
    </w:p>
    <w:p w14:paraId="7F0C86D8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Hart, Oliver. “Incomplete Contracts and Control.”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American Economic Review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107.7 (2017): 1731-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1752.*</w:t>
      </w:r>
      <w:proofErr w:type="gramEnd"/>
    </w:p>
    <w:p w14:paraId="1E9E015C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Klein, Benjamin, Robert G. Crawford, and Armen A. </w:t>
      </w:r>
      <w:proofErr w:type="spell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Alchian</w:t>
      </w:r>
      <w:proofErr w:type="spellEnd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. “Vertical integration, 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lastRenderedPageBreak/>
        <w:t xml:space="preserve">appropriable rents, and the competitive contracting process.”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The Journal of Law and Economics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21.2 (1978): 297-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326.*</w:t>
      </w:r>
      <w:proofErr w:type="gramEnd"/>
    </w:p>
    <w:p w14:paraId="2EA6E7B0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Grossman, Sanford J., and Oliver D. Hart. “The costs and benefits of ownership: A theory of vertical and lateral integration.”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Journal of Political Economy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94.4 (1986): 691-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719.*</w:t>
      </w:r>
      <w:proofErr w:type="gramEnd"/>
    </w:p>
    <w:p w14:paraId="5413066E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Bolton, Patrick, and Mathias Dewatripont. 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Contract Theory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. MIT Press, 2004. (pp. 487-515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).*</w:t>
      </w:r>
      <w:proofErr w:type="gramEnd"/>
    </w:p>
    <w:p w14:paraId="78EA8C5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5916D266" w14:textId="77777777" w:rsidR="006F2AC3" w:rsidRPr="006F2AC3" w:rsidRDefault="006F2AC3" w:rsidP="006F2AC3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Multiple Parties to a “Contract”</w:t>
      </w:r>
    </w:p>
    <w:p w14:paraId="5B92895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1FACADB9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Hansmann, Henry.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The Ownership of Enterprise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. Harvard University Press, 2000. (Chapter 3, pp 39-44)</w:t>
      </w:r>
    </w:p>
    <w:p w14:paraId="3E914C21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Anabtawi, Iman. “Some skepticism about increasing shareholder power.” </w:t>
      </w:r>
      <w:r w:rsidRPr="006F2AC3"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  <w:t>UCLA L. Rev.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53 (2005): 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561.*</w:t>
      </w:r>
      <w:proofErr w:type="gramEnd"/>
    </w:p>
    <w:p w14:paraId="6722511F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Khoo, Kenneth, “The Law and Economics of Shareholder Ideology” (2022), Working Paper. (pp. 17-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31)*</w:t>
      </w:r>
      <w:proofErr w:type="gramEnd"/>
    </w:p>
    <w:p w14:paraId="2A8F08E0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4C544175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The Proprietary Approach to Corporate Law</w:t>
      </w:r>
    </w:p>
    <w:p w14:paraId="575FF54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175275F9" w14:textId="77777777" w:rsidR="006F2AC3" w:rsidRPr="006F2AC3" w:rsidRDefault="006F2AC3" w:rsidP="006F2AC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An Overview of the Issues</w:t>
      </w:r>
    </w:p>
    <w:p w14:paraId="5184939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661FFD25" w14:textId="77777777" w:rsidR="006F2AC3" w:rsidRPr="006F2AC3" w:rsidRDefault="006F2AC3" w:rsidP="006F2AC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Dari</w:t>
      </w:r>
      <w:r w:rsidRPr="006F2A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‐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Mattiacci, Giuseppe. “Capital Lock-in, Liquidity, and the Separation of Ownership and Control.”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Columbia Law and Economics Working Paper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607 (2019). (pp. 3-8)</w:t>
      </w:r>
    </w:p>
    <w:p w14:paraId="743F7218" w14:textId="77777777" w:rsidR="006F2AC3" w:rsidRPr="006F2AC3" w:rsidRDefault="006F2AC3" w:rsidP="006F2AC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Armour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John, and Michael J. </w:t>
      </w: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Whincop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. “The proprietary foundations of corporate law.”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Oxford Journal of Legal Studies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27.3 (2007): 429-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465.*</w:t>
      </w:r>
      <w:proofErr w:type="gramEnd"/>
    </w:p>
    <w:p w14:paraId="4108F403" w14:textId="77777777" w:rsidR="006F2AC3" w:rsidRPr="006F2AC3" w:rsidRDefault="006F2AC3" w:rsidP="006F2AC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Anderson IV, Robert. “A property theory of corporate law.”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Colum. Bus. L. Rev.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(2020):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1.*</w:t>
      </w:r>
      <w:proofErr w:type="gramEnd"/>
    </w:p>
    <w:p w14:paraId="0F85E32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1E67C3EE" w14:textId="77777777" w:rsidR="006F2AC3" w:rsidRPr="006F2AC3" w:rsidRDefault="006F2AC3" w:rsidP="006F2AC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Asset Partitioning</w:t>
      </w:r>
    </w:p>
    <w:p w14:paraId="0DD451D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25553AF1" w14:textId="77777777" w:rsidR="006F2AC3" w:rsidRPr="006F2AC3" w:rsidRDefault="006F2AC3" w:rsidP="006F2AC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Hansmann, Henry, and Reinier Kraakman.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“The essential role of organizational law.”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Yale LJ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110 (2000): 387. (read pp 390-396, 398-405, 423-428).</w:t>
      </w:r>
    </w:p>
    <w:p w14:paraId="51C2F71B" w14:textId="77777777" w:rsidR="006F2AC3" w:rsidRPr="006F2AC3" w:rsidRDefault="006F2AC3" w:rsidP="006F2AC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Hansmann, Henry, Reinier Kraakman, and Richard Squire. “Law and the Rise of the Firm.”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 xml:space="preserve">Harv. L. Rev.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119 (2005):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1335.*</w:t>
      </w:r>
      <w:proofErr w:type="gramEnd"/>
    </w:p>
    <w:p w14:paraId="3F8EB28E" w14:textId="77777777" w:rsidR="006F2AC3" w:rsidRPr="006F2AC3" w:rsidRDefault="006F2AC3" w:rsidP="006F2AC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Eldar, Ofer, and Andrew Verstein.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“The Enduring Distinction Between Business Entities and Security Interests.”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S. Cal. L. Rev.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92 (2018):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213.*</w:t>
      </w:r>
      <w:proofErr w:type="gramEnd"/>
    </w:p>
    <w:p w14:paraId="6064D31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u w:val="single"/>
          <w:lang w:val="en-US"/>
          <w14:ligatures w14:val="none"/>
        </w:rPr>
      </w:pPr>
    </w:p>
    <w:p w14:paraId="1702191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4688EF4E" w14:textId="027CBE2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3B20A885" w14:textId="77777777" w:rsidR="006F2AC3" w:rsidRDefault="006F2AC3"/>
    <w:p w14:paraId="59CC3DF5" w14:textId="0B71CFBA" w:rsidR="006F2AC3" w:rsidRDefault="006F2AC3">
      <w:r>
        <w:br w:type="page"/>
      </w:r>
    </w:p>
    <w:p w14:paraId="3B4F02F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lastRenderedPageBreak/>
        <w:t xml:space="preserve">National University of Singapore, Faculty of Law </w:t>
      </w:r>
    </w:p>
    <w:p w14:paraId="61309B0F" w14:textId="1A7EF99B" w:rsidR="006F2AC3" w:rsidRPr="006F2AC3" w:rsidRDefault="0060002B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Corporate Law and Economics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20B9818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07AB64F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Exit vs Voice (Seminar 5)</w:t>
      </w:r>
    </w:p>
    <w:p w14:paraId="554D762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17B9A96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</w:t>
      </w:r>
    </w:p>
    <w:p w14:paraId="48A3BC7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4C81ECF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General Principles</w:t>
      </w:r>
    </w:p>
    <w:p w14:paraId="2F6D4B8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</w:p>
    <w:p w14:paraId="0EF73491" w14:textId="77777777" w:rsidR="006F2AC3" w:rsidRPr="006F2AC3" w:rsidRDefault="006F2AC3" w:rsidP="006F2AC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An Overview of the Issues</w:t>
      </w:r>
    </w:p>
    <w:p w14:paraId="3CA84CD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1F985D06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Easterbrook, F. H., &amp; Fischel, D. R. (1996). In The Economic Structure of Corporate Law (pp. 82–84). Harvard University Press. </w:t>
      </w:r>
    </w:p>
    <w:p w14:paraId="33357A42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Albert O., H. (1970). In Exit, voice, and loyalty - responses to decline in firms, organizations, and States (Vol. 25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pp. 3–4). Harvard University Press. *</w:t>
      </w:r>
    </w:p>
    <w:p w14:paraId="25A00FF8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i/>
          <w:i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Hansmann, H. (2000). In The ownership of Enterprise (pp. 46–49). Harvard University 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Press.*</w:t>
      </w:r>
      <w:proofErr w:type="gramEnd"/>
    </w:p>
    <w:p w14:paraId="0891565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Times New Roman" w:hAnsi="Garamond" w:cs="Times New Roman"/>
          <w:bCs/>
          <w:i/>
          <w:iCs/>
          <w:color w:val="000000"/>
          <w:kern w:val="0"/>
          <w:lang w:val="en-US"/>
          <w14:ligatures w14:val="none"/>
        </w:rPr>
      </w:pPr>
    </w:p>
    <w:p w14:paraId="4AAA18C1" w14:textId="77777777" w:rsidR="006F2AC3" w:rsidRPr="006F2AC3" w:rsidRDefault="006F2AC3" w:rsidP="006F2AC3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Diversification in Financial Markets</w:t>
      </w:r>
    </w:p>
    <w:p w14:paraId="7A847316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463FFE11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Bodie, Z., Kane, A. &amp; Marcus, A. J. (2014). In Investments (pp. 9–11, and pp. 205–207), McGraw-Hill *</w:t>
      </w:r>
    </w:p>
    <w:p w14:paraId="20029B62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1F0FC3D6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Theoretical Foundations</w:t>
      </w:r>
    </w:p>
    <w:p w14:paraId="3AD8BC4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27BC2AAA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Gehlbach, S. (2006). A formal model of exit and voice. Rationality and Society, 18(4), 395–418. *</w:t>
      </w:r>
    </w:p>
    <w:p w14:paraId="78BD960B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Arial"/>
          <w:color w:val="000000"/>
          <w:kern w:val="0"/>
          <w:shd w:val="clear" w:color="auto" w:fill="FFFFFF"/>
          <w:lang w:val="nb-NO"/>
          <w14:ligatures w14:val="none"/>
        </w:rPr>
        <w:t xml:space="preserve">Admati, Anat R., and Paul Pfleiderer.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Doing the “Wall Street Walk” as a Kind of Shareholder Activism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 (</w:t>
      </w:r>
      <w:hyperlink r:id="rId5" w:history="1">
        <w:r w:rsidRPr="006F2AC3">
          <w:rPr>
            <w:rFonts w:ascii="Garamond" w:eastAsia="Times New Roman" w:hAnsi="Garamond" w:cs="Times New Roman"/>
            <w:bCs/>
            <w:color w:val="0000FF"/>
            <w:kern w:val="0"/>
            <w:u w:val="single"/>
            <w:lang w:val="en-US"/>
            <w14:ligatures w14:val="none"/>
          </w:rPr>
          <w:t>https://www.institutionalinvestor.com/article/2btfrsxj20ndcpa2x5qtc/innovation/doing-the-wall-street-walk-as-a-kind-of-shareholder-activism</w:t>
        </w:r>
      </w:hyperlink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)</w:t>
      </w:r>
    </w:p>
    <w:p w14:paraId="1C321F7B" w14:textId="77777777" w:rsidR="006F2AC3" w:rsidRPr="006F2AC3" w:rsidRDefault="006F2AC3" w:rsidP="006F2AC3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Admati, Anat R., and Paul Pfleiderer.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"The “Wall Street Walk” and shareholder activism: Exit as a form of voice."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Review of Financial Studies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22, no. 7 (2009): 2645-2685.</w:t>
      </w:r>
      <w:r w:rsidRPr="006F2AC3">
        <w:rPr>
          <w:rFonts w:ascii="Garamond" w:eastAsia="Times New Roman" w:hAnsi="Garamond" w:cs="Arial"/>
          <w:kern w:val="0"/>
          <w:shd w:val="clear" w:color="auto" w:fill="FFFFFF"/>
          <w:lang w:val="en-US"/>
          <w14:ligatures w14:val="none"/>
        </w:rPr>
        <w:t xml:space="preserve"> *</w:t>
      </w:r>
    </w:p>
    <w:p w14:paraId="49EE7259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Levit Doron, Nadya Malenko, &amp; Ernst G. </w:t>
      </w: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Maug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 (2019). Trading and Shareholder Democracy. Journal of Finance, Forthcoming, European Corporate Governance Institute–Finance Working Paper 631. (read pp. 1-6, 40-42) *</w:t>
      </w:r>
    </w:p>
    <w:p w14:paraId="5BA590CE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Oliver Hart &amp; Luigi Zingales. (2022). The New Corporate Governance. University of Chicago Business Law Review, 1(1), 195–216.</w:t>
      </w:r>
    </w:p>
    <w:p w14:paraId="79B10BD2" w14:textId="77777777" w:rsidR="006F2AC3" w:rsidRPr="006F2AC3" w:rsidRDefault="006F2AC3" w:rsidP="006F2AC3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Broccardo, E., Hart, O., &amp; Zingales, L. (2022). Exit Versus Voice. Journal of Political Economy, 130(12), 3101–3145. *</w:t>
      </w:r>
    </w:p>
    <w:p w14:paraId="181F6117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Ronald J. Gilson, &amp; Jeffrey N. Gordon. (2013). The agency costs of agency capitalism: Activist investors and the revaluation of governance rights. Columbia Law Review, 113. *</w:t>
      </w:r>
    </w:p>
    <w:p w14:paraId="06DC751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</w:p>
    <w:p w14:paraId="5285B77F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6EDD546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Empirical Evidence</w:t>
      </w:r>
    </w:p>
    <w:p w14:paraId="3BFD033C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Sophia Zhengzi Li, Ernst Maug, &amp; Miriam Schwartz-Ziv. (2022). When shareholders disagree: Trading after shareholder meetings. Review of Financial Studies, 35(4), 1813-1867, read pp. 1814-1819, 1845-1848, 1855-1858. *</w:t>
      </w:r>
    </w:p>
    <w:p w14:paraId="7471F7A0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Becht Marco, Julian R. Franks, &amp; Hannes F. Wagner. (2019). Corporate governance </w:t>
      </w: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lastRenderedPageBreak/>
        <w:t>through voice and exit. European Corporate Governance Institute–Finance Working Paper 633, pp. 1-7, 24. *</w:t>
      </w:r>
    </w:p>
    <w:p w14:paraId="5335A55E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Becht, Marco, Anete Pajuste &amp; Anna Toniolo. (2023). Voice through divestment. European Corporate Governance Institute–Finance Working Paper 900, read pp. 2-9. * </w:t>
      </w:r>
    </w:p>
    <w:p w14:paraId="4C15E4E2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7EFA94D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Applications to Law</w:t>
      </w:r>
    </w:p>
    <w:p w14:paraId="6E2D7ED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62679329" w14:textId="77777777" w:rsidR="006F2AC3" w:rsidRPr="006F2AC3" w:rsidRDefault="006F2AC3" w:rsidP="006F2A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Holger Spamann. (2022). Indirect investor protection: the investment ecosystem and its legal underpinnings. Journal of Legal Analysis 14(1), 17-79. (read pp. 3-9, 42).</w:t>
      </w:r>
    </w:p>
    <w:p w14:paraId="3A856762" w14:textId="77777777" w:rsidR="006F2AC3" w:rsidRPr="006F2AC3" w:rsidRDefault="006F2AC3" w:rsidP="006F2A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Section 176, 177, 182 Companies Act 1967 (Singapore).</w:t>
      </w:r>
    </w:p>
    <w:p w14:paraId="2ADBEC20" w14:textId="77777777" w:rsidR="006F2AC3" w:rsidRPr="006F2AC3" w:rsidRDefault="006F2AC3" w:rsidP="006F2AC3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i/>
          <w:iCs/>
          <w:color w:val="000000"/>
          <w:kern w:val="0"/>
          <w:lang w:val="en-US"/>
          <w14:ligatures w14:val="none"/>
        </w:rPr>
        <w:t>C.f.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Rule 14a-8, 17 CFR 240.14a-8 (United States)</w:t>
      </w:r>
    </w:p>
    <w:p w14:paraId="51FE531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24C5FCBC" w14:textId="02111DB8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283ABF61" w14:textId="77777777" w:rsidR="006F2AC3" w:rsidRDefault="006F2AC3"/>
    <w:p w14:paraId="25E49A8E" w14:textId="4E09ED70" w:rsidR="006F2AC3" w:rsidRDefault="006F2AC3">
      <w:r>
        <w:br w:type="page"/>
      </w:r>
    </w:p>
    <w:p w14:paraId="0D3EA68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lastRenderedPageBreak/>
        <w:t xml:space="preserve">National University of Singapore, Faculty of Law </w:t>
      </w:r>
    </w:p>
    <w:p w14:paraId="3787FA8A" w14:textId="20EF138B" w:rsidR="006F2AC3" w:rsidRPr="006F2AC3" w:rsidRDefault="0060002B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Corporate Law and Economics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76A3440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70753D0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Institutional Investors, Common Ownership, and Stewardship (Seminar 6)</w:t>
      </w:r>
    </w:p>
    <w:p w14:paraId="5CB2D47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538E99FF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</w:t>
      </w:r>
    </w:p>
    <w:p w14:paraId="20B6BCA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1D6F430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Fund Structure</w:t>
      </w:r>
    </w:p>
    <w:p w14:paraId="506B5BE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41B095A3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Gilson, R. J., &amp; Gordon, J. N. (2013). The agency costs of agency capitalism: Activist investors and the revaluation of governance rights. Colum. L. Rev., 113, 863. (read pp 864-869, 889-895)</w:t>
      </w:r>
    </w:p>
    <w:p w14:paraId="2E697252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Morley, J. (2013). The separation of funds and managers: A theory of investment fund structure and regulation. Yale LJ, 123, 1228. (read pp. 1234-1236, 1238-1241)</w:t>
      </w:r>
    </w:p>
    <w:p w14:paraId="1E53810B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Morley, J. D. (2018). Too big to be activist. S. Cal. L. Rev., 92,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1407.*</w:t>
      </w:r>
      <w:proofErr w:type="gram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 </w:t>
      </w:r>
    </w:p>
    <w:p w14:paraId="048A40E4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Bebchuk, L. A., Cohen, A., &amp; Hirst, S. (2017). The agency problems of institutional investors. Journal of Economic Perspectives, 31(3), 89-112. (read pp 90-95, 97-98, 107-110)</w:t>
      </w:r>
    </w:p>
    <w:p w14:paraId="46E81FA7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Bebchuk, L., &amp; Hirst, S. (2019). Index funds and the future of corporate governance: Theory, evidence, and policy. Columbia Law Review, 119(8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).*</w:t>
      </w:r>
      <w:proofErr w:type="gramEnd"/>
    </w:p>
    <w:p w14:paraId="521325AE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Fisch, J., Hamdani, A., &amp; Solomon, S. D. (2019). The new titans of Wall Street: A theoretical framework for passive investors. University of Pennsylvania Law Review, 17-72. *</w:t>
      </w:r>
    </w:p>
    <w:p w14:paraId="43996026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Hirst, S., &amp; Bebchuk, L. (2019). The specter of the giant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three</w:t>
      </w:r>
      <w:proofErr w:type="gram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. Boston University Law Review, 99(3), 721. *</w:t>
      </w:r>
    </w:p>
    <w:p w14:paraId="6E0A66C5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Bebchuk, L., &amp; Hirst, S. (2022). Big three power, and why it matters. BUL Rev., 102, 1547. *</w:t>
      </w:r>
    </w:p>
    <w:p w14:paraId="20159306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color w:val="000000"/>
          <w:kern w:val="0"/>
          <w:lang w:val="nb-NO"/>
          <w14:ligatures w14:val="none"/>
        </w:rPr>
        <w:t xml:space="preserve">Dasgupta, A., Fos, V., &amp; Sautner, Z. (2021). </w:t>
      </w: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Institutional investors and corporate governance. Foundations and Trends in Finance, 12(4), 276-394. *</w:t>
      </w:r>
    </w:p>
    <w:p w14:paraId="76B5FF9A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Hirst, S., &amp; Kastiel, K. (2019). Corporate governance by index exclusion. BUL Rev., 99,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1229.*</w:t>
      </w:r>
      <w:proofErr w:type="gramEnd"/>
    </w:p>
    <w:p w14:paraId="3F1BC08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26B54E50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Common Ownership</w:t>
      </w:r>
    </w:p>
    <w:p w14:paraId="148A1C0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1162A8B1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Azar, J., Schmalz, M. C., &amp; Tecu, I. (2018). Anticompetitive effects of common ownership. The Journal of Finance, 73(4), 1513-1565. (read pp 1514-1519, 1552-1558) (focus on the textual explanations)</w:t>
      </w:r>
    </w:p>
    <w:p w14:paraId="10EE47D9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Gilje, E. P., Gormley, T. A., &amp; Levit, D. (2020). Who's paying attention? Measuring common ownership and its impact on managerial incentives. Journal of Financial Economics, 137(1), 152-178. *</w:t>
      </w:r>
    </w:p>
    <w:p w14:paraId="2047167E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Backus, M., Conlon, C., &amp; Sinkinson, M. (2021). Common ownership in America: 1980–2017. American Economic Journal: Microeconomics, 13(3), 273-308. *</w:t>
      </w:r>
    </w:p>
    <w:p w14:paraId="62369E43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Elhauge, E. (2021). The causal mechanisms of horizontal shareholding. Ohio St. LJ, 82,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1.*</w:t>
      </w:r>
      <w:proofErr w:type="gramEnd"/>
    </w:p>
    <w:p w14:paraId="64625CE9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Hemphill, C. S., &amp; Kahan, M. (2019). The strategies of anticompetitive common ownership. Yale LJ, 129, 1392. *</w:t>
      </w:r>
    </w:p>
    <w:p w14:paraId="2C93380E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Posner, E. A., Scott Morgan, F. M., &amp; Weyl, E. G. (2016). A proposal to limit the anticompetitive power of institutional investors. Antitrust LJ, 81, 669. *</w:t>
      </w:r>
    </w:p>
    <w:p w14:paraId="26DA29A9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Khoo, K. (2023). Transaction Costs in Common Ownership. U. Pa. J. Bus. L., 25, 209.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lastRenderedPageBreak/>
        <w:t>(read pp 210-222)</w:t>
      </w:r>
    </w:p>
    <w:p w14:paraId="1A7CF13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463DB280" w14:textId="77777777" w:rsidR="006F2AC3" w:rsidRPr="006F2AC3" w:rsidRDefault="006F2AC3" w:rsidP="006F2AC3">
      <w:pPr>
        <w:spacing w:after="0" w:line="240" w:lineRule="auto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Stewardship</w:t>
      </w:r>
    </w:p>
    <w:p w14:paraId="47F5C03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39DB4D5A" w14:textId="77777777" w:rsidR="006F2AC3" w:rsidRPr="006F2AC3" w:rsidRDefault="006F2AC3" w:rsidP="006F2AC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Katelouzou, D., &amp; </w:t>
      </w:r>
      <w:proofErr w:type="spell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Puchniak</w:t>
      </w:r>
      <w:proofErr w:type="spellEnd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D. (Eds.). (2022). Global Shareholder Stewardship. Cambridge: Cambridge University Press. doi:10.1017/9781108914819 (Chapters 1 to 3) *</w:t>
      </w:r>
    </w:p>
    <w:p w14:paraId="2D3353F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2528A4D0" w14:textId="595E4250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23478BF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6DE6AFD6" w14:textId="77777777" w:rsidR="006F2AC3" w:rsidRDefault="006F2AC3"/>
    <w:p w14:paraId="280EFAD3" w14:textId="61B9355C" w:rsidR="006F2AC3" w:rsidRDefault="006F2AC3">
      <w:r>
        <w:br w:type="page"/>
      </w:r>
    </w:p>
    <w:p w14:paraId="6296444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lastRenderedPageBreak/>
        <w:t xml:space="preserve">National University of Singapore, Faculty of Law </w:t>
      </w:r>
    </w:p>
    <w:p w14:paraId="39C72CA4" w14:textId="7E8545D1" w:rsidR="006F2AC3" w:rsidRPr="006F2AC3" w:rsidRDefault="0060002B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Corporate Law and Economics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29087449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4461CCC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Ownership Structures (Seminar 7)</w:t>
      </w:r>
    </w:p>
    <w:p w14:paraId="76FA4B0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7B1D5016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</w:t>
      </w:r>
    </w:p>
    <w:p w14:paraId="2E9668A2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5B38E67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Dual-Class Shares</w:t>
      </w:r>
    </w:p>
    <w:p w14:paraId="30ED63D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1E1C8421" w14:textId="77777777" w:rsidR="006F2AC3" w:rsidRPr="006F2AC3" w:rsidRDefault="006F2AC3" w:rsidP="006F2AC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Choi, A. H. (2018). Concentrated ownership and long-term shareholder value. Harv. Bus. L. Rev., 8, 53. (read pp 53-63, 67-75)</w:t>
      </w:r>
    </w:p>
    <w:p w14:paraId="4705A8F9" w14:textId="77777777" w:rsidR="006F2AC3" w:rsidRPr="006F2AC3" w:rsidRDefault="006F2AC3" w:rsidP="006F2AC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Masulis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R. W., Wang, C., &amp; Xie, F. (2009). Agency problems at dual</w:t>
      </w:r>
      <w:r w:rsidRPr="006F2AC3">
        <w:rPr>
          <w:rFonts w:ascii="Times New Roman" w:eastAsia="Times New Roman" w:hAnsi="Times New Roman" w:cs="Times New Roman"/>
          <w:bCs/>
          <w:color w:val="000000"/>
          <w:kern w:val="0"/>
          <w:lang w:val="en-US"/>
          <w14:ligatures w14:val="none"/>
        </w:rPr>
        <w:t>‐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class companies. The Journal of Finance, 64(4), 1697-1727. *</w:t>
      </w:r>
    </w:p>
    <w:p w14:paraId="3F304122" w14:textId="77777777" w:rsidR="006F2AC3" w:rsidRPr="006F2AC3" w:rsidRDefault="006F2AC3" w:rsidP="006F2AC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Bebchuk, L. A., &amp; Kastiel, K. (2017).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The untenable case for perpetual dual-class stock. Virginia Law Review, 585-630. (read pp 587-594, 618-627)</w:t>
      </w:r>
    </w:p>
    <w:p w14:paraId="393F85AD" w14:textId="77777777" w:rsidR="006F2AC3" w:rsidRPr="006F2AC3" w:rsidRDefault="006F2AC3" w:rsidP="006F2AC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Fisch, J., &amp; Solomon, S. D. (2019). The problem of sunsets. BUL Rev., 99, 1057. *</w:t>
      </w:r>
    </w:p>
    <w:p w14:paraId="54F80CE5" w14:textId="77777777" w:rsidR="006F2AC3" w:rsidRPr="006F2AC3" w:rsidRDefault="006F2AC3" w:rsidP="006F2AC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Kim, H., &amp; Michaely, R. (2019). Sticking around too long? Dynamics of the benefits of dual-class voting. Dynamics of the Benefits of Dual-Class Voting (January 2, 2019). European Corporate Governance Institute (ECGI)-Finance Working Paper, (590), 19-09. *</w:t>
      </w:r>
    </w:p>
    <w:p w14:paraId="4B139F3B" w14:textId="77777777" w:rsidR="006F2AC3" w:rsidRPr="006F2AC3" w:rsidRDefault="006F2AC3" w:rsidP="006F2AC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Aggarwal, D., Eldar, O., Hochberg, Y. V., &amp;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Litov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L. P. (2022). The rise of dual-class stock IPOs. Journal of Financial Economics, 144(1), 122-153. *</w:t>
      </w:r>
    </w:p>
    <w:p w14:paraId="4AD085C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3CAA14D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Family-Owned Firms</w:t>
      </w:r>
    </w:p>
    <w:p w14:paraId="63EE5040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4889806A" w14:textId="77777777" w:rsidR="006F2AC3" w:rsidRPr="006F2AC3" w:rsidRDefault="006F2AC3" w:rsidP="006F2AC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Gilson, R. J. (2007). Controlling family shareholders in developing countries: Anchoring relational exchange. Stan. L. Rev., 60, 633. (read pp 633-637, 646-651)</w:t>
      </w:r>
    </w:p>
    <w:p w14:paraId="5E104231" w14:textId="77777777" w:rsidR="006F2AC3" w:rsidRPr="006F2AC3" w:rsidRDefault="006F2AC3" w:rsidP="006F2AC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Hansmann, H., &amp; Thomsen, S. (2021). The governance of foundation-owned firms. Journal of Legal Analysis, 13(1), 172-230. *</w:t>
      </w:r>
    </w:p>
    <w:p w14:paraId="30C829EB" w14:textId="77777777" w:rsidR="006F2AC3" w:rsidRPr="006F2AC3" w:rsidRDefault="006F2AC3" w:rsidP="006F2AC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Villalonga, B., &amp; Amit, R. (2020). Family ownership. Oxford Review of Economic Policy, 36(2), 241-257. *</w:t>
      </w:r>
    </w:p>
    <w:p w14:paraId="09FCE73A" w14:textId="77777777" w:rsidR="006F2AC3" w:rsidRPr="006F2AC3" w:rsidRDefault="006F2AC3" w:rsidP="006F2AC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Villalonga, B., Amit, R., Trujillo, M. A., &amp; Guzmán, A. (2015). Governance of family firms. Annual Review of Financial Economics, 7, 635-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654.*</w:t>
      </w:r>
      <w:proofErr w:type="gramEnd"/>
    </w:p>
    <w:p w14:paraId="463F6127" w14:textId="77777777" w:rsidR="006F2AC3" w:rsidRPr="006F2AC3" w:rsidRDefault="006F2AC3" w:rsidP="006F2AC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Burkart, M., Panunzi, F., &amp; Shleifer, A. (2003). Family firms. The journal of finance, 58(5), 2167-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2201.*</w:t>
      </w:r>
      <w:proofErr w:type="gramEnd"/>
    </w:p>
    <w:p w14:paraId="087F012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0B5B921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State-Owned Enterprises</w:t>
      </w:r>
    </w:p>
    <w:p w14:paraId="5300C8F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602B47B5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color w:val="000000"/>
          <w:kern w:val="0"/>
          <w:lang w:val="nb-NO"/>
          <w14:ligatures w14:val="none"/>
        </w:rPr>
        <w:t xml:space="preserve">Milhaupt, C. J., &amp; Pargendler, M. (2017). </w:t>
      </w: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Governance challenges of listed state-owned enterprises around the world: national experiences and a framework for reform. Cornell Int'l LJ, 50, 473. (read pp 474-477, 518-524)</w:t>
      </w:r>
    </w:p>
    <w:p w14:paraId="776AD4A0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Pargendler</w:t>
      </w:r>
      <w:proofErr w:type="spell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, M. (2011). State ownership and corporate governance. Fordham L. Rev., 80, 2917. (read pp 2918-2924, 2942-2947)</w:t>
      </w:r>
    </w:p>
    <w:p w14:paraId="586BF137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Pargendler</w:t>
      </w:r>
      <w:proofErr w:type="spell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, M., Musacchio, A., &amp; Lazzarini, S. G. (2013). In strange company: The puzzle of private investment in state-controlled firms. Cornell Int'l LJ, 46, 569. *</w:t>
      </w:r>
    </w:p>
    <w:p w14:paraId="4011A4D2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color w:val="000000"/>
          <w:kern w:val="0"/>
          <w:lang w:val="nb-NO"/>
          <w14:ligatures w14:val="none"/>
        </w:rPr>
        <w:t xml:space="preserve">Milhaupt, C. J., &amp; Pargendler, M. (2018). </w:t>
      </w: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RPTs in SOEs: Tunneling, propping, and policy channeling. The Law and Finance of Related Party Transactions (Cambridge University Press, Forthcoming), Stanford Law and Economics Olin Working Paper, (517). *</w:t>
      </w:r>
    </w:p>
    <w:p w14:paraId="7FECDDF5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Lim, E. W. (2021). Concentrated ownership, state-owned enterprises and corporate </w:t>
      </w: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lastRenderedPageBreak/>
        <w:t>governance. Oxford Journal of Legal Studies, 41(3), 663-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691.*</w:t>
      </w:r>
      <w:proofErr w:type="gramEnd"/>
    </w:p>
    <w:p w14:paraId="3D0BFFC2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Bernier, L., Florio, M., &amp; Bance, P. (Eds.). (2020). The Routledge handbook of state-owned enterprises.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Routledge.*</w:t>
      </w:r>
      <w:proofErr w:type="gramEnd"/>
    </w:p>
    <w:p w14:paraId="105F83C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3B4F3C04" w14:textId="246CCBCE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69BE2D4F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1940F9EB" w14:textId="5EC735F9" w:rsidR="006F2AC3" w:rsidRDefault="006F2AC3">
      <w:r>
        <w:br w:type="page"/>
      </w:r>
    </w:p>
    <w:p w14:paraId="1CEA809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lastRenderedPageBreak/>
        <w:t xml:space="preserve">National University of Singapore, Faculty of Law </w:t>
      </w:r>
    </w:p>
    <w:p w14:paraId="6B53F36D" w14:textId="4513CD7D" w:rsidR="006F2AC3" w:rsidRPr="006F2AC3" w:rsidRDefault="0060002B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Corporate Law and Economics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0EAE7CE2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56F9AD50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 xml:space="preserve">ESG and </w:t>
      </w:r>
      <w:proofErr w:type="spellStart"/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Stakeholderism</w:t>
      </w:r>
      <w:proofErr w:type="spellEnd"/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 xml:space="preserve"> (Seminars 8 and 9)</w:t>
      </w:r>
    </w:p>
    <w:p w14:paraId="437AAD4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5456671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</w:t>
      </w:r>
    </w:p>
    <w:p w14:paraId="11BEBA1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5CF52C0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Motivation</w:t>
      </w:r>
    </w:p>
    <w:p w14:paraId="44A6695F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3F254C23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Pollman, E. (2022). The Making and Meaning of ESG. European Corporate Governance Institute (ECGI)–Law Working Paper, (659). (read pp 3-6, 20-29)</w:t>
      </w:r>
    </w:p>
    <w:p w14:paraId="14E6A067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(Chapter 4.3, pp 92-95) </w:t>
      </w:r>
    </w:p>
    <w:p w14:paraId="6EA4400B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Hannes, S., Libson, A., &amp; </w:t>
      </w:r>
      <w:proofErr w:type="spell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Parchomovsky</w:t>
      </w:r>
      <w:proofErr w:type="spellEnd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 xml:space="preserve">, G. (2022). The ESG Gap. Available at </w:t>
      </w:r>
      <w:proofErr w:type="gramStart"/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SSRN.*</w:t>
      </w:r>
      <w:proofErr w:type="gramEnd"/>
    </w:p>
    <w:p w14:paraId="2E39E1C7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Tallarita, R. (2022). Stockholder Politics. Hastings LJ, 73, 1697-1760. *</w:t>
      </w:r>
    </w:p>
    <w:p w14:paraId="7D976BD3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Bonnefon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, J. F.,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Landier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, A., Sastry, P. R., &amp;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Thesmar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, D. (2020). The moral preferences of investors: Experimental evidence (No. w29647). National Bureau of Economic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Research.*</w:t>
      </w:r>
      <w:proofErr w:type="gramEnd"/>
    </w:p>
    <w:p w14:paraId="35108A5E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/>
          <w:color w:val="000000"/>
          <w:kern w:val="0"/>
          <w:lang w:val="nb-NO"/>
          <w14:ligatures w14:val="none"/>
        </w:rPr>
        <w:t xml:space="preserve">Bebchuk, L. A., &amp; Tallarita, R. (2020). </w:t>
      </w:r>
      <w:r w:rsidRPr="006F2AC3">
        <w:rPr>
          <w:rFonts w:ascii="Garamond" w:eastAsia="Times New Roman" w:hAnsi="Garamond" w:cs="Times New Roman"/>
          <w:b/>
          <w:color w:val="000000"/>
          <w:kern w:val="0"/>
          <w:lang w:val="en-US"/>
          <w14:ligatures w14:val="none"/>
        </w:rPr>
        <w:t>The illusory promise of stakeholder governance. Cornell L. Rev., 106, 91-178.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(read pp 93-102, 111-123)</w:t>
      </w:r>
    </w:p>
    <w:p w14:paraId="569916C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4A0BE04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Externalities on Corporate Constituents</w:t>
      </w:r>
    </w:p>
    <w:p w14:paraId="44A8EE8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1FD34A85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color w:val="000000"/>
          <w:kern w:val="0"/>
          <w:lang w:val="en-US"/>
          <w14:ligatures w14:val="none"/>
        </w:rPr>
        <w:t>Hart, O., &amp; Zingales, L. (2022). The New Corporate Governance. The University of Chicago Business Law Review, 1(1), 7.</w:t>
      </w:r>
    </w:p>
    <w:p w14:paraId="07DEA0DE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(refer to pinpoint citations above)</w:t>
      </w:r>
    </w:p>
    <w:p w14:paraId="02CE223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highlight w:val="yellow"/>
          <w:lang w:val="en-US"/>
          <w14:ligatures w14:val="none"/>
        </w:rPr>
      </w:pPr>
    </w:p>
    <w:p w14:paraId="390463D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Shareholder and Board Preferences</w:t>
      </w:r>
    </w:p>
    <w:p w14:paraId="7876F53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06AB169B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Pollman, E. (2022). The Making and Meaning of ESG. European Corporate Governance Institute (ECGI)–Law Working Paper, (659).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(refer to pinpoint citations above)</w:t>
      </w:r>
    </w:p>
    <w:p w14:paraId="6C8EEC15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Krueger, P., Sautner, Z., &amp; Starks, L. T. (2020).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The importance of climate risks for institutional investors. The Review of Financial Studies, 33(3), 1067-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1111.*</w:t>
      </w:r>
      <w:proofErr w:type="gramEnd"/>
    </w:p>
    <w:p w14:paraId="4203CF2D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Gordon, J. N. (2021). Systematic stewardship. J. Corp. L., 47, 627. (read pp 628-638)</w:t>
      </w:r>
    </w:p>
    <w:p w14:paraId="272FBA68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Broccardo, E., Hart, O., &amp; Zingales, L. (2022). Exit versus voice. Journal of Political Economy, 130(12), 3101-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3145.*</w:t>
      </w:r>
      <w:proofErr w:type="gramEnd"/>
    </w:p>
    <w:p w14:paraId="6D0EDF13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Robertson, A. Z., &amp; Sanga, S. (2023). Aggregating Values: Mutual Funds and the Problem of ESG. U. Chi. L. Rev. Online, 1–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21.*</w:t>
      </w:r>
      <w:proofErr w:type="gramEnd"/>
    </w:p>
    <w:p w14:paraId="6E90DE0D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Bolton, P., Li, T., Ravina, E., &amp; Rosenthal, H. (2020). Investor ideology. Journal of Financial Economics, 137(2), 320-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352.*</w:t>
      </w:r>
      <w:proofErr w:type="gramEnd"/>
    </w:p>
    <w:p w14:paraId="46A3863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kern w:val="0"/>
          <w:highlight w:val="yellow"/>
          <w:lang w:val="en-US"/>
          <w14:ligatures w14:val="none"/>
        </w:rPr>
      </w:pPr>
    </w:p>
    <w:p w14:paraId="0A5FEE2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ESG and Corporate Law</w:t>
      </w:r>
    </w:p>
    <w:p w14:paraId="1D410F2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kern w:val="0"/>
          <w:lang w:val="en-US"/>
          <w14:ligatures w14:val="none"/>
        </w:rPr>
      </w:pPr>
    </w:p>
    <w:p w14:paraId="63EF776D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Spamann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H., &amp; Fisher, J. (2022). Corporate Purpose: Theoretical and Empirical Foundations/Confusions. European Corporate Governance Institute (ECGI)–Law Working Paper (553). (read pp 1-2, 9-16)</w:t>
      </w:r>
    </w:p>
    <w:p w14:paraId="74C58123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/>
          <w:color w:val="000000"/>
          <w:kern w:val="0"/>
          <w:lang w:val="nb-NO"/>
          <w14:ligatures w14:val="none"/>
        </w:rPr>
        <w:t xml:space="preserve">Bebchuk, L. A., &amp; Tallarita, R. (2020). </w:t>
      </w:r>
      <w:r w:rsidRPr="006F2AC3">
        <w:rPr>
          <w:rFonts w:ascii="Garamond" w:eastAsia="Times New Roman" w:hAnsi="Garamond" w:cs="Times New Roman"/>
          <w:b/>
          <w:color w:val="000000"/>
          <w:kern w:val="0"/>
          <w:lang w:val="en-US"/>
          <w14:ligatures w14:val="none"/>
        </w:rPr>
        <w:t xml:space="preserve">The illusory promise of stakeholder governance. Cornell L. Rev., 106, 91-178.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(refer to pinpoint citations above)</w:t>
      </w:r>
    </w:p>
    <w:p w14:paraId="57F8152C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lastRenderedPageBreak/>
        <w:t xml:space="preserve">Mayer, C. (2020).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Shareholderism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versus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Stakeholderism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-A Misconceived Contradiction: A Comment on “The Illusory Promise of Stakeholder Governance,” by Lucian Bebchuk and Roberto Tallarita. Cornell L. Rev., 106, 1859-1880. (read pp 1860-1867) </w:t>
      </w:r>
    </w:p>
    <w:p w14:paraId="635123C1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Savitt, W., &amp;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Kovvali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A. (2020). On the promise of stakeholder governance: a response to Bebchuk and Tallarita. Cornell L. Rev., 106, 1881-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1895.*</w:t>
      </w:r>
      <w:proofErr w:type="gramEnd"/>
    </w:p>
    <w:p w14:paraId="3AD59D19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Bebchuk, L. A., &amp; Tallarita, R. (2022).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Will Corporations Deliver Value to All Stakeholders? Vand. L. Rev., 75(4), 1031-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1091.*</w:t>
      </w:r>
      <w:proofErr w:type="gramEnd"/>
    </w:p>
    <w:p w14:paraId="2FF896D5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Bebchuk, L. A., Kastiel, K., &amp; Tallarita, R. (2023).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Stakeholder Capitalism in the Time of COVID. Yale J. on Reg., 40, 60-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126.*</w:t>
      </w:r>
      <w:proofErr w:type="gramEnd"/>
    </w:p>
    <w:p w14:paraId="6EBF3F8B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Bebchuk, L. A., Kastiel, K., &amp; Tallarita, R. (2020).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For whom corporate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leaders</w:t>
      </w:r>
      <w:proofErr w:type="gram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bargain. S. Cal. L. Rev., 94, 1467-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1560.*</w:t>
      </w:r>
      <w:proofErr w:type="gramEnd"/>
    </w:p>
    <w:p w14:paraId="39F5B35A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Mayer, C. P. (2018). Prosperity: Better business makes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the greater good</w:t>
      </w:r>
      <w:proofErr w:type="gram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. Oxford University Press. (you need to borrow this from a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library)*</w:t>
      </w:r>
      <w:proofErr w:type="gramEnd"/>
    </w:p>
    <w:p w14:paraId="21EE6747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Dharmapala, D., &amp; Khanna, V. (2018). The impact of mandated corporate social responsibility: Evidence from India’s Companies Act of 2013. International Review of law and Economics, 56, 92-104. (read pp 92-94, 101-104)</w:t>
      </w:r>
    </w:p>
    <w:p w14:paraId="51FCD1A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6B02E839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“Greenwashing” and Accountability</w:t>
      </w:r>
    </w:p>
    <w:p w14:paraId="6993D1A2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66DE28AA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Berg, F., Koelbel, J. F., &amp; Rigobon, R. (2022).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Aggregate confusion: The divergence of ESG ratings. Review of Finance, 26(6), 1315-1344. (read pp 1316-1319)</w:t>
      </w:r>
    </w:p>
    <w:p w14:paraId="73CAE26A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Heath, D.,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Macciocchi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D., Michaely, R., &amp; Ringgenberg, M. C. (2021). Does socially responsible investing change firm behavior? European Corporate Governance Institute (ECGI)–Finance Working Paper, (762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).*</w:t>
      </w:r>
      <w:proofErr w:type="gramEnd"/>
    </w:p>
    <w:p w14:paraId="495CE27C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Curtis, Q., Fisch, J., &amp; Robertson, A. Z. (2021). Do ESG mutual funds deliver on their promises? Mich. L. Rev., 120(3), 393-450. (read pp 395-401)</w:t>
      </w:r>
    </w:p>
    <w:p w14:paraId="0B699122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Barzuza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M., Curtis, Q., &amp; Webber, D. H. (2019). Shareholder Value(s): Index fund ESG Activism and The New Millennial Corporate Governance. S. Cal. L. Rev., 93, 1243-1322. (read pp 1246-1252, 1265-1275)</w:t>
      </w:r>
    </w:p>
    <w:p w14:paraId="6BF16FE9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Berg, F., Koelbel, J. F., Pavlova, A., &amp; Rigobon, R. (2022).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ESG confusion and Stock Returns: Tackling the Problem of Noise. NBER Working Paper Series, (30562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).*</w:t>
      </w:r>
      <w:proofErr w:type="gramEnd"/>
    </w:p>
    <w:p w14:paraId="285F1E14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Azar, J., Duro, M.,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Kadach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, I., &amp; </w:t>
      </w:r>
      <w:proofErr w:type="spell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Ormazabal</w:t>
      </w:r>
      <w:proofErr w:type="spell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G. (2021). The Big Three and Corporate Carbon Emissions around the World. Journal of Financial Economics, 142(2), 674-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696.*</w:t>
      </w:r>
      <w:proofErr w:type="gramEnd"/>
    </w:p>
    <w:p w14:paraId="6411B669" w14:textId="77777777" w:rsidR="006F2AC3" w:rsidRPr="006F2AC3" w:rsidRDefault="006F2AC3" w:rsidP="006F2AC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Khoo, K. (2023). Common Ownership and Corporate Social Responsibility: Evidence from BlackRock-BGI Merger. In I.H. Chiu &amp; H. Hirt (Ed.). Investment Management, Stewardship and Sustainability: Transformation and Challenges in Law and Regulation (pp. 235–284). Oxford: Hart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Publishing.*</w:t>
      </w:r>
      <w:proofErr w:type="gramEnd"/>
    </w:p>
    <w:p w14:paraId="168FCF7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highlight w:val="yellow"/>
          <w:lang w:val="en-US"/>
          <w14:ligatures w14:val="none"/>
        </w:rPr>
      </w:pPr>
    </w:p>
    <w:p w14:paraId="26178CC2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Board Diversity</w:t>
      </w:r>
    </w:p>
    <w:p w14:paraId="707FB79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6EB399EF" w14:textId="77777777" w:rsidR="006F2AC3" w:rsidRPr="006F2AC3" w:rsidRDefault="006F2AC3" w:rsidP="006F2AC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Arrow, K. J. (1998). What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has economics</w:t>
      </w:r>
      <w:proofErr w:type="gram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to say about racial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discrimination?.</w:t>
      </w:r>
      <w:proofErr w:type="gram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Journal of economic perspectives, 12(2), 91-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100.*</w:t>
      </w:r>
      <w:proofErr w:type="gramEnd"/>
    </w:p>
    <w:p w14:paraId="7B2563ED" w14:textId="77777777" w:rsidR="006F2AC3" w:rsidRPr="006F2AC3" w:rsidRDefault="006F2AC3" w:rsidP="006F2AC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Fairfax, L. M. (2005). The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bottom line on board</w:t>
      </w:r>
      <w:proofErr w:type="gram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diversity: A cost-benefit analysis of the business rationales for diversity on corporate boards. Wis. L. Rev., 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795.*</w:t>
      </w:r>
      <w:proofErr w:type="gramEnd"/>
    </w:p>
    <w:p w14:paraId="64776FE9" w14:textId="77777777" w:rsidR="006F2AC3" w:rsidRPr="006F2AC3" w:rsidRDefault="006F2AC3" w:rsidP="006F2AC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Harjoto, M., </w:t>
      </w: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Laksmana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, I., &amp; Lee, R. (2015). Board diversity and corporate social responsibility. Journal of business ethics, 132, 641-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660.*</w:t>
      </w:r>
      <w:proofErr w:type="gramEnd"/>
    </w:p>
    <w:p w14:paraId="550D1E60" w14:textId="77777777" w:rsidR="006F2AC3" w:rsidRPr="006F2AC3" w:rsidRDefault="006F2AC3" w:rsidP="006F2AC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Beji, R., Yousfi, O., Loukil, N., &amp; Omri, A. (2021).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Board diversity and corporate social responsibility: Empirical evidence from France. Journal of Business Ethics, 173, 133-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155.*</w:t>
      </w:r>
      <w:proofErr w:type="gramEnd"/>
    </w:p>
    <w:p w14:paraId="735335D1" w14:textId="77777777" w:rsidR="006F2AC3" w:rsidRPr="006F2AC3" w:rsidRDefault="006F2AC3" w:rsidP="006F2AC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Grosvold, J., Brammer, S., &amp; Rayton, B. (2007).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Board diversity in the United Kingdom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lastRenderedPageBreak/>
        <w:t>and Norway: an exploratory analysis. Business ethics: A European review, 16(4), 344-</w:t>
      </w:r>
      <w:proofErr w:type="gram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357.*</w:t>
      </w:r>
      <w:proofErr w:type="gramEnd"/>
    </w:p>
    <w:p w14:paraId="5A44972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146863C1" w14:textId="5510B722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03C7A4C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1B6E6C59" w14:textId="77777777" w:rsidR="006F2AC3" w:rsidRDefault="006F2AC3"/>
    <w:p w14:paraId="394D6003" w14:textId="68691ACB" w:rsidR="006F2AC3" w:rsidRDefault="006F2AC3">
      <w:r>
        <w:br w:type="page"/>
      </w:r>
    </w:p>
    <w:p w14:paraId="0DB80461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lastRenderedPageBreak/>
        <w:t xml:space="preserve">National University of Singapore, Faculty of Law </w:t>
      </w:r>
    </w:p>
    <w:p w14:paraId="678CA9D2" w14:textId="75390BE8" w:rsidR="006F2AC3" w:rsidRPr="006F2AC3" w:rsidRDefault="0060002B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val="en-US"/>
          <w14:ligatures w14:val="none"/>
        </w:rPr>
      </w:pPr>
      <w:r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Corporate Law and Economics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AY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2025-2026</w:t>
      </w:r>
      <w:r w:rsidR="006F2AC3" w:rsidRPr="006F2AC3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 xml:space="preserve">, </w:t>
      </w:r>
      <w:r w:rsidR="00E1639E">
        <w:rPr>
          <w:rFonts w:ascii="Garamond" w:eastAsia="Times New Roman" w:hAnsi="Garamond" w:cs="Times New Roman"/>
          <w:b/>
          <w:kern w:val="0"/>
          <w:lang w:val="en-US"/>
          <w14:ligatures w14:val="none"/>
        </w:rPr>
        <w:t>Semester 2</w:t>
      </w:r>
    </w:p>
    <w:p w14:paraId="1A5BBA0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4BFD599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Board or Shareholder Power? (Seminars 10 and 11)</w:t>
      </w:r>
    </w:p>
    <w:p w14:paraId="5163D48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7DDCCF26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Note: Recommended/Optional readings are labelled *. Important readings are highlighted in </w:t>
      </w: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bold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.</w:t>
      </w:r>
    </w:p>
    <w:p w14:paraId="1B03E70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7FC2EC0E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Board or Shareholder Power?</w:t>
      </w:r>
    </w:p>
    <w:p w14:paraId="73E6C03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76698E0B" w14:textId="77777777" w:rsidR="006F2AC3" w:rsidRPr="006F2AC3" w:rsidRDefault="006F2AC3" w:rsidP="006F2AC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General Principles</w:t>
      </w:r>
    </w:p>
    <w:p w14:paraId="4A7B2A8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721AE0CB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(Chapter 3, pp 48-77). (read 49-50, 51-72)</w:t>
      </w:r>
    </w:p>
    <w:p w14:paraId="0C2EB998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i/>
          <w:i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Easterbrook, Frank H., and Daniel R. Fischel. The Economic Structure of Corporate Law. Harvard University Press, 1996. (Chapter 4, pp 90-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108)*</w:t>
      </w:r>
      <w:proofErr w:type="gramEnd"/>
    </w:p>
    <w:p w14:paraId="7792BAC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53147E32" w14:textId="77777777" w:rsidR="006F2AC3" w:rsidRPr="006F2AC3" w:rsidRDefault="006F2AC3" w:rsidP="006F2AC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 xml:space="preserve">Theoretical </w:t>
      </w: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and</w:t>
      </w: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 xml:space="preserve"> Conceptual Foundations</w:t>
      </w:r>
    </w:p>
    <w:p w14:paraId="543A2199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</w:p>
    <w:p w14:paraId="5527D7D4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Arial"/>
          <w:b/>
          <w:bCs/>
          <w:color w:val="000000"/>
          <w:kern w:val="0"/>
          <w:shd w:val="clear" w:color="auto" w:fill="FFFFFF"/>
          <w:lang w:val="en-US"/>
          <w14:ligatures w14:val="none"/>
        </w:rPr>
        <w:t>Blair, M. M., &amp; Stout, L. A. (1999). A Team Production Theory of Corporate Law. Va. L. Rev., 85, 247. (read pp. 248-257)</w:t>
      </w:r>
    </w:p>
    <w:p w14:paraId="748FB368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Rajan, R. G., &amp; Zingales, L. (1998). Power in a Theory of the Firm. The Quarterly Journal of Economics, 113(2), 387-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432.*</w:t>
      </w:r>
      <w:proofErr w:type="gramEnd"/>
    </w:p>
    <w:p w14:paraId="47E2A35A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Anabtawi, I. (2005). Some skepticism about increasing shareholder power. </w:t>
      </w:r>
      <w:proofErr w:type="spell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Ucla</w:t>
      </w:r>
      <w:proofErr w:type="spell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 l. Rev., 53, 561. *</w:t>
      </w:r>
    </w:p>
    <w:p w14:paraId="5CA19639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color w:val="000000"/>
          <w:kern w:val="0"/>
          <w:lang w:val="en-US"/>
          <w14:ligatures w14:val="none"/>
        </w:rPr>
        <w:t>Bebchuk, Lucian Arye. "The case for increasing shareholder power." Harv. L. Rev. 118 (2004): 833. (read pp. 836-850, 856-857, 862-865, 879-880)</w:t>
      </w:r>
    </w:p>
    <w:p w14:paraId="3E0D0371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Bainbridge, Stephen M. "Director primacy and shareholder disempowerment." Harv. L. Rev. 119 (2005): 1735. *</w:t>
      </w:r>
    </w:p>
    <w:p w14:paraId="1449CDC3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Bebchuk, L. A. (2007). The myth of the shareholder franchise. Va. L. Rev., 93,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675.*</w:t>
      </w:r>
      <w:proofErr w:type="gramEnd"/>
    </w:p>
    <w:p w14:paraId="6E675ECB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Stout, L. A. (2007). The mythical benefits of shareholder control. Virginia Law Review, 789-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809.*</w:t>
      </w:r>
      <w:proofErr w:type="gramEnd"/>
    </w:p>
    <w:p w14:paraId="0EAC915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highlight w:val="yellow"/>
          <w:u w:val="single"/>
          <w:lang w:val="en-US"/>
          <w14:ligatures w14:val="none"/>
        </w:rPr>
      </w:pPr>
    </w:p>
    <w:p w14:paraId="0D50EA10" w14:textId="77777777" w:rsidR="006F2AC3" w:rsidRPr="006F2AC3" w:rsidRDefault="006F2AC3" w:rsidP="006F2AC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Empirical Evidence</w:t>
      </w:r>
    </w:p>
    <w:p w14:paraId="74301C69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74BED59D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Gompers, P., Ishii, J., &amp; Metrick, A. (2003). Corporate governance and equity prices. The quarterly journal of economics, 118(1), 107-156. *</w:t>
      </w:r>
    </w:p>
    <w:p w14:paraId="5815D069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Bebchuk, L., Cohen, A., &amp; Ferrell, A. (2009). What matters in corporate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governance?.</w:t>
      </w:r>
      <w:proofErr w:type="gram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The Review of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financial studies</w:t>
      </w:r>
      <w:proofErr w:type="gram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, 22(2), 783-827. *</w:t>
      </w:r>
    </w:p>
    <w:p w14:paraId="57E92708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Frankenreiter, J., Hwang, C., Nili, Y., &amp; Talley, E. (2021).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Cleaning corporate governance. U. Pa. L. Rev., 170, 1. *</w:t>
      </w:r>
    </w:p>
    <w:p w14:paraId="268B4469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Bebchuk, L. A., Kastiel, K., &amp; Toniolo, A. (2023).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How Twitter Pushed Stakeholders Under 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The</w:t>
      </w:r>
      <w:proofErr w:type="gramEnd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Bus. Harvard Law School Program on Corporate Governance Working Paper, (2023-1</w:t>
      </w:r>
      <w:proofErr w:type="gramStart"/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).*</w:t>
      </w:r>
      <w:proofErr w:type="gramEnd"/>
    </w:p>
    <w:p w14:paraId="47CC3634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highlight w:val="yellow"/>
          <w:u w:val="single"/>
          <w:lang w:val="en-US"/>
          <w14:ligatures w14:val="none"/>
        </w:rPr>
      </w:pPr>
    </w:p>
    <w:p w14:paraId="00483C5D" w14:textId="77777777" w:rsidR="006F2AC3" w:rsidRPr="006F2AC3" w:rsidRDefault="006F2AC3" w:rsidP="006F2AC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>Applications to Law</w:t>
      </w:r>
    </w:p>
    <w:p w14:paraId="6E407C98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3AF8D7FE" w14:textId="77777777" w:rsidR="006F2AC3" w:rsidRPr="006F2AC3" w:rsidRDefault="006F2AC3" w:rsidP="006F2A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Section 157A Companies Act 1967.</w:t>
      </w:r>
    </w:p>
    <w:p w14:paraId="77830E67" w14:textId="77777777" w:rsidR="006F2AC3" w:rsidRPr="006F2AC3" w:rsidRDefault="006F2AC3" w:rsidP="006F2A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i/>
          <w:iCs/>
          <w:color w:val="000000"/>
          <w:kern w:val="0"/>
          <w:lang w:val="en-US"/>
          <w14:ligatures w14:val="none"/>
        </w:rPr>
        <w:t>Chan Siew Lee v TYC Investments Pte Ltd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 [2015] 5 SLR 409*</w:t>
      </w:r>
    </w:p>
    <w:p w14:paraId="79CC6B2B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3238443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339E9620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Directors’ duties</w:t>
      </w:r>
    </w:p>
    <w:p w14:paraId="65F22BC7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16866F8D" w14:textId="77777777" w:rsidR="006F2AC3" w:rsidRPr="006F2AC3" w:rsidRDefault="006F2AC3" w:rsidP="006F2AC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General Principles</w:t>
      </w:r>
    </w:p>
    <w:p w14:paraId="3E722A2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3CC8AB6F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, Reinier, et.al </w:t>
      </w:r>
      <w:r w:rsidRPr="006F2AC3">
        <w:rPr>
          <w:rFonts w:ascii="Garamond" w:eastAsia="Times New Roman" w:hAnsi="Garamond" w:cs="Times New Roman"/>
          <w:i/>
          <w:iCs/>
          <w:kern w:val="0"/>
          <w:lang w:val="en-US"/>
          <w14:ligatures w14:val="none"/>
        </w:rPr>
        <w:t>The Anatomy of Corporate law: A Comparative and Functional Approach.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 xml:space="preserve"> Oxford University Press, 2017. (Chapter 2, pp 31-39)</w:t>
      </w:r>
    </w:p>
    <w:p w14:paraId="796585C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en-US"/>
          <w14:ligatures w14:val="none"/>
        </w:rPr>
      </w:pPr>
    </w:p>
    <w:p w14:paraId="46CB30CA" w14:textId="77777777" w:rsidR="006F2AC3" w:rsidRPr="006F2AC3" w:rsidRDefault="006F2AC3" w:rsidP="006F2AC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Applications to Law</w:t>
      </w:r>
    </w:p>
    <w:p w14:paraId="7C1B8015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</w:p>
    <w:p w14:paraId="460DA981" w14:textId="77777777" w:rsidR="006F2AC3" w:rsidRPr="006F2AC3" w:rsidRDefault="006F2AC3" w:rsidP="006F2AC3">
      <w:pPr>
        <w:numPr>
          <w:ilvl w:val="0"/>
          <w:numId w:val="25"/>
        </w:numPr>
        <w:spacing w:after="0" w:line="240" w:lineRule="auto"/>
        <w:rPr>
          <w:rFonts w:ascii="Garamond" w:eastAsia="Times New Roman" w:hAnsi="Garamond" w:cs="Times New Roman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Section 157 Companies Act 1967.</w:t>
      </w:r>
    </w:p>
    <w:p w14:paraId="152C87B7" w14:textId="77777777" w:rsidR="006F2AC3" w:rsidRPr="00EC7D79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lang w:val="nb-NO"/>
          <w14:ligatures w14:val="none"/>
        </w:rPr>
      </w:pPr>
      <w:r w:rsidRPr="00EC7D79">
        <w:rPr>
          <w:rFonts w:ascii="Garamond" w:eastAsia="Times New Roman" w:hAnsi="Garamond" w:cs="Times New Roman"/>
          <w:i/>
          <w:iCs/>
          <w:kern w:val="0"/>
          <w:lang w:val="nb-NO"/>
          <w14:ligatures w14:val="none"/>
        </w:rPr>
        <w:t>Ng Eng Ghee v Mamata Kapildev Dave</w:t>
      </w: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 [2009] 3 SLR(R) 109.</w:t>
      </w:r>
    </w:p>
    <w:p w14:paraId="685F46C1" w14:textId="77777777" w:rsidR="006F2AC3" w:rsidRPr="00EC7D79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nb-NO"/>
          <w14:ligatures w14:val="none"/>
        </w:rPr>
      </w:pPr>
    </w:p>
    <w:p w14:paraId="2A2A3AB3" w14:textId="77777777" w:rsidR="006F2AC3" w:rsidRPr="00EC7D79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nb-NO"/>
          <w14:ligatures w14:val="none"/>
        </w:rPr>
      </w:pPr>
    </w:p>
    <w:p w14:paraId="311A9DAD" w14:textId="77777777" w:rsidR="006F2AC3" w:rsidRPr="006F2AC3" w:rsidRDefault="006F2AC3" w:rsidP="006F2AC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/>
          <w:bCs/>
          <w:kern w:val="0"/>
          <w:lang w:val="en-US"/>
          <w14:ligatures w14:val="none"/>
        </w:rPr>
        <w:t>Minority Shareholder Protection</w:t>
      </w:r>
    </w:p>
    <w:p w14:paraId="651FB59C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</w:p>
    <w:p w14:paraId="0C87119E" w14:textId="77777777" w:rsidR="006F2AC3" w:rsidRPr="006F2AC3" w:rsidRDefault="006F2AC3" w:rsidP="006F2AC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General Principles</w:t>
      </w:r>
    </w:p>
    <w:p w14:paraId="34BB9C1D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highlight w:val="yellow"/>
          <w:u w:val="single"/>
          <w:lang w:val="en-US"/>
          <w14:ligatures w14:val="none"/>
        </w:rPr>
      </w:pPr>
    </w:p>
    <w:p w14:paraId="1C60C37A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proofErr w:type="spellStart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Kraakman</w:t>
      </w:r>
      <w:proofErr w:type="spellEnd"/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, R., Cools, S., Goto, G. (2017). The Anatomy of Corporate Law: A Comparative and Functional approach (pp. 79–108). Oxford University Press. (read pp. 79-80, 84-88, 100-102, 103-105)</w:t>
      </w:r>
    </w:p>
    <w:p w14:paraId="4737E8FA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Hansmann, H. (2000). In The Ownership of Enterprise (pp. 39–44). Harvard University Press.</w:t>
      </w:r>
    </w:p>
    <w:p w14:paraId="46F18780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3AE81AAF" w14:textId="77777777" w:rsidR="006F2AC3" w:rsidRPr="006F2AC3" w:rsidRDefault="006F2AC3" w:rsidP="006F2AC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 xml:space="preserve">Theoretical </w:t>
      </w: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and</w:t>
      </w: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 xml:space="preserve"> Conceptual Foundations</w:t>
      </w:r>
    </w:p>
    <w:p w14:paraId="7554759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</w:pPr>
    </w:p>
    <w:p w14:paraId="44308078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Gilson, R. J., &amp; Gordon, J. N. (2003). Controlling </w:t>
      </w:r>
      <w:proofErr w:type="spell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Controlling</w:t>
      </w:r>
      <w:proofErr w:type="spell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 Shareholders. University of Pennsylvania Law Review, 152(2), 785–843. (read pp. 785-793)</w:t>
      </w:r>
    </w:p>
    <w:p w14:paraId="13BD4840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Gilson, R. J. (2006). Controlling Shareholders and Corporate Governance: Complicating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the Comparative</w:t>
      </w:r>
      <w:proofErr w:type="gramEnd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 Taxonomy. Harvard Law Review, 119(6), 1641–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1679.*</w:t>
      </w:r>
      <w:proofErr w:type="gramEnd"/>
    </w:p>
    <w:p w14:paraId="5F896BC1" w14:textId="77777777" w:rsidR="006F2AC3" w:rsidRPr="006F2AC3" w:rsidRDefault="006F2AC3" w:rsidP="006F2AC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Anabtawi, I. (2005). Some Skepticism about increasing Shareholder Power. UCLA Law Review, 53, 561–599. *</w:t>
      </w:r>
    </w:p>
    <w:p w14:paraId="35F7C745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Arial"/>
          <w:b/>
          <w:bCs/>
          <w:color w:val="000000"/>
          <w:kern w:val="0"/>
          <w:shd w:val="clear" w:color="auto" w:fill="FFFFFF"/>
          <w:lang w:val="en-US"/>
          <w14:ligatures w14:val="none"/>
        </w:rPr>
        <w:t>Anabtawi, I., &amp; Stout, L. (2008). Fiduciary Duties for Activist Shareholders. Stanford Law Review, 60(5), 1255–1308. (read pp 1257-1274, 1293-1306)</w:t>
      </w:r>
    </w:p>
    <w:p w14:paraId="7DA47B14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Griffith, S. J., &amp; Lund, D. S. (2019). Conflicted Mutual Fund Voting in Corporate Law. Boston University Law Review, 99, 1151–1192. (read pp 1153-1158, 1187-1192)</w:t>
      </w:r>
    </w:p>
    <w:p w14:paraId="2A12A661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color w:val="000000"/>
          <w:kern w:val="0"/>
          <w:lang w:val="nb-NO"/>
          <w14:ligatures w14:val="none"/>
        </w:rPr>
        <w:t xml:space="preserve">Bebchuk, L. A., &amp; Hamdani, A. (2018). </w:t>
      </w: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 xml:space="preserve">The Agency Costs of Controlling Shareholders. Unpublished Working Paper, Harvard Law School and Tel Aviv </w:t>
      </w:r>
      <w:proofErr w:type="gramStart"/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University.*</w:t>
      </w:r>
      <w:proofErr w:type="gramEnd"/>
    </w:p>
    <w:p w14:paraId="2885914F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Khoo, K. (2022). The Law and Economics of Shareholder Ideology. *</w:t>
      </w:r>
    </w:p>
    <w:p w14:paraId="272454C6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EC7D79">
        <w:rPr>
          <w:rFonts w:ascii="Garamond" w:eastAsia="Times New Roman" w:hAnsi="Garamond" w:cs="Times New Roman"/>
          <w:kern w:val="0"/>
          <w:lang w:val="nb-NO"/>
          <w14:ligatures w14:val="none"/>
        </w:rPr>
        <w:t xml:space="preserve">Bebchuk, L. A., &amp; Hamdani, A. (2009). </w:t>
      </w: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The Elusive Quest for Global Governance Standards. University of Pennsylvania Law Review, 157(5), 1263–1317. *</w:t>
      </w:r>
    </w:p>
    <w:p w14:paraId="37D4F7F0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lang w:val="en-US"/>
          <w14:ligatures w14:val="none"/>
        </w:rPr>
        <w:t>Lim, E. (2018). Controlling Shareholders and Fiduciary Duties in Asia. Journal of Corporate Law Studies, 18(1), 113–150. *</w:t>
      </w:r>
    </w:p>
    <w:p w14:paraId="00387B06" w14:textId="77777777" w:rsidR="006F2AC3" w:rsidRPr="006F2AC3" w:rsidRDefault="006F2AC3" w:rsidP="006F2AC3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color w:val="000000"/>
          <w:kern w:val="0"/>
          <w:lang w:val="en-US"/>
          <w14:ligatures w14:val="none"/>
        </w:rPr>
        <w:t>Lim, E. (2019). A Case for Shareholders’ Fiduciary Duties in Common Law Asia. Cambridge University Press. *</w:t>
      </w:r>
    </w:p>
    <w:p w14:paraId="11D4379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highlight w:val="yellow"/>
          <w:u w:val="single"/>
          <w:lang w:val="en-US"/>
          <w14:ligatures w14:val="none"/>
        </w:rPr>
      </w:pPr>
    </w:p>
    <w:p w14:paraId="1564C432" w14:textId="77777777" w:rsidR="006F2AC3" w:rsidRPr="006F2AC3" w:rsidRDefault="006F2AC3" w:rsidP="006F2AC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 xml:space="preserve">Empirical </w:t>
      </w: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Evidence</w:t>
      </w:r>
    </w:p>
    <w:p w14:paraId="55C7601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5CBDA7DA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 xml:space="preserve">Dyck, A., &amp; Zingales, L. (2004). Private Benefits of Control: An International Comparison. </w:t>
      </w: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lastRenderedPageBreak/>
        <w:t>The Journal of Finance, 59(2), 537–600. *</w:t>
      </w:r>
    </w:p>
    <w:p w14:paraId="72DD3846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Bolton, P., Li, T., Ravina, E., &amp; Rosenthal, H. (2020). Investor Ideology. Journal of Financial Economics, 137(2), 320–352. *</w:t>
      </w:r>
    </w:p>
    <w:p w14:paraId="2BC4CCB8" w14:textId="77777777" w:rsidR="006F2AC3" w:rsidRPr="006F2AC3" w:rsidRDefault="006F2AC3" w:rsidP="006F2AC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color w:val="000000"/>
          <w:kern w:val="0"/>
          <w:lang w:val="en-US"/>
          <w14:ligatures w14:val="none"/>
        </w:rPr>
        <w:t>Bubb, R., &amp; Catan, E. M. (2021). The party structure of mutual funds. The Review of Financial Studies, 35(6), 2839–2878. *</w:t>
      </w:r>
    </w:p>
    <w:p w14:paraId="37EE68EA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503BAA14" w14:textId="77777777" w:rsidR="006F2AC3" w:rsidRPr="006F2AC3" w:rsidRDefault="006F2AC3" w:rsidP="006F2AC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kern w:val="0"/>
          <w:u w:val="single"/>
          <w:lang w:val="en-US"/>
          <w14:ligatures w14:val="none"/>
        </w:rPr>
        <w:t>Applications</w:t>
      </w:r>
      <w:r w:rsidRPr="006F2AC3"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  <w:t xml:space="preserve"> to Law</w:t>
      </w:r>
    </w:p>
    <w:p w14:paraId="1BF8AFA3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u w:val="single"/>
          <w:lang w:val="en-US"/>
          <w14:ligatures w14:val="none"/>
        </w:rPr>
      </w:pPr>
    </w:p>
    <w:p w14:paraId="2E76C90C" w14:textId="77777777" w:rsidR="006F2AC3" w:rsidRPr="006F2AC3" w:rsidRDefault="006F2AC3" w:rsidP="006F2A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Section 216 Companies Act 1967.</w:t>
      </w:r>
    </w:p>
    <w:p w14:paraId="1E0B9A1E" w14:textId="77777777" w:rsidR="006F2AC3" w:rsidRPr="00EC7D79" w:rsidRDefault="006F2AC3" w:rsidP="006F2A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</w:pPr>
      <w:r w:rsidRPr="00EC7D79">
        <w:rPr>
          <w:rFonts w:ascii="Garamond" w:eastAsia="Times New Roman" w:hAnsi="Garamond" w:cs="Times New Roman"/>
          <w:bCs/>
          <w:i/>
          <w:iCs/>
          <w:color w:val="000000"/>
          <w:kern w:val="0"/>
          <w:lang w:val="nb-NO"/>
          <w14:ligatures w14:val="none"/>
        </w:rPr>
        <w:t>Over &amp; Over Ltd. v Bonvest Holdings Ltd</w:t>
      </w:r>
      <w:r w:rsidRPr="00EC7D79"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  <w:t xml:space="preserve"> [2010] 2 SLR 776 *</w:t>
      </w:r>
    </w:p>
    <w:p w14:paraId="3E2432B0" w14:textId="77777777" w:rsidR="006F2AC3" w:rsidRPr="00EC7D79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</w:pPr>
    </w:p>
    <w:p w14:paraId="0DB94FD9" w14:textId="77777777" w:rsidR="006F2AC3" w:rsidRPr="00EC7D79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color w:val="000000"/>
          <w:kern w:val="0"/>
          <w:lang w:val="nb-NO"/>
          <w14:ligatures w14:val="none"/>
        </w:rPr>
      </w:pPr>
    </w:p>
    <w:p w14:paraId="1938FD5E" w14:textId="77777777" w:rsidR="006F2AC3" w:rsidRPr="00EC7D79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nb-NO"/>
          <w14:ligatures w14:val="none"/>
        </w:rPr>
      </w:pPr>
    </w:p>
    <w:p w14:paraId="3A5CC834" w14:textId="4823DB6B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  <w:r w:rsidRPr="006F2AC3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Kenneth Khoo</w:t>
      </w:r>
      <w:r w:rsidR="00354F3C">
        <w:rPr>
          <w:rFonts w:ascii="Garamond" w:eastAsia="Times New Roman" w:hAnsi="Garamond" w:cs="Times New Roman"/>
          <w:bCs/>
          <w:kern w:val="0"/>
          <w:lang w:val="en-US"/>
          <w14:ligatures w14:val="none"/>
        </w:rPr>
        <w:t>, Jan 2026</w:t>
      </w:r>
    </w:p>
    <w:p w14:paraId="1479508E" w14:textId="77777777" w:rsidR="006F2AC3" w:rsidRPr="006F2AC3" w:rsidRDefault="006F2AC3" w:rsidP="006F2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lang w:val="en-US"/>
          <w14:ligatures w14:val="none"/>
        </w:rPr>
      </w:pPr>
    </w:p>
    <w:p w14:paraId="2335D76F" w14:textId="77777777" w:rsidR="006F2AC3" w:rsidRDefault="006F2AC3"/>
    <w:sectPr w:rsidR="006F2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3916"/>
    <w:multiLevelType w:val="hybridMultilevel"/>
    <w:tmpl w:val="9E34CE3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50100"/>
    <w:multiLevelType w:val="hybridMultilevel"/>
    <w:tmpl w:val="7F10F99E"/>
    <w:lvl w:ilvl="0" w:tplc="4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322F5"/>
    <w:multiLevelType w:val="hybridMultilevel"/>
    <w:tmpl w:val="3F2E36C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2A81"/>
    <w:multiLevelType w:val="hybridMultilevel"/>
    <w:tmpl w:val="B2C48F6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A7B0A"/>
    <w:multiLevelType w:val="hybridMultilevel"/>
    <w:tmpl w:val="0832B94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7251C"/>
    <w:multiLevelType w:val="hybridMultilevel"/>
    <w:tmpl w:val="B93E0CD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9065D1"/>
    <w:multiLevelType w:val="hybridMultilevel"/>
    <w:tmpl w:val="B51C962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C3FA8"/>
    <w:multiLevelType w:val="hybridMultilevel"/>
    <w:tmpl w:val="9132B05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20205"/>
    <w:multiLevelType w:val="hybridMultilevel"/>
    <w:tmpl w:val="389E58B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947"/>
    <w:multiLevelType w:val="hybridMultilevel"/>
    <w:tmpl w:val="679EA086"/>
    <w:lvl w:ilvl="0" w:tplc="48090015">
      <w:start w:val="1"/>
      <w:numFmt w:val="upp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B1FEE"/>
    <w:multiLevelType w:val="hybridMultilevel"/>
    <w:tmpl w:val="59E0595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12E5B"/>
    <w:multiLevelType w:val="hybridMultilevel"/>
    <w:tmpl w:val="B7E20BA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314CC"/>
    <w:multiLevelType w:val="hybridMultilevel"/>
    <w:tmpl w:val="7F10F99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9B77C7"/>
    <w:multiLevelType w:val="hybridMultilevel"/>
    <w:tmpl w:val="7F10F99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6F5FA4"/>
    <w:multiLevelType w:val="hybridMultilevel"/>
    <w:tmpl w:val="A24475A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25B84"/>
    <w:multiLevelType w:val="hybridMultilevel"/>
    <w:tmpl w:val="655C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723CE"/>
    <w:multiLevelType w:val="hybridMultilevel"/>
    <w:tmpl w:val="7F10F99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636199">
    <w:abstractNumId w:val="15"/>
  </w:num>
  <w:num w:numId="2" w16cid:durableId="1804498062">
    <w:abstractNumId w:val="5"/>
  </w:num>
  <w:num w:numId="3" w16cid:durableId="196746823">
    <w:abstractNumId w:val="1"/>
  </w:num>
  <w:num w:numId="4" w16cid:durableId="1566603616">
    <w:abstractNumId w:val="16"/>
  </w:num>
  <w:num w:numId="5" w16cid:durableId="719399443">
    <w:abstractNumId w:val="8"/>
  </w:num>
  <w:num w:numId="6" w16cid:durableId="825056107">
    <w:abstractNumId w:val="14"/>
  </w:num>
  <w:num w:numId="7" w16cid:durableId="302388765">
    <w:abstractNumId w:val="2"/>
  </w:num>
  <w:num w:numId="8" w16cid:durableId="1207639047">
    <w:abstractNumId w:val="9"/>
  </w:num>
  <w:num w:numId="9" w16cid:durableId="1754013634">
    <w:abstractNumId w:val="3"/>
  </w:num>
  <w:num w:numId="10" w16cid:durableId="1771857535">
    <w:abstractNumId w:val="11"/>
  </w:num>
  <w:num w:numId="11" w16cid:durableId="1410493966">
    <w:abstractNumId w:val="10"/>
  </w:num>
  <w:num w:numId="12" w16cid:durableId="1057701696">
    <w:abstractNumId w:val="7"/>
  </w:num>
  <w:num w:numId="13" w16cid:durableId="1370758957">
    <w:abstractNumId w:val="4"/>
  </w:num>
  <w:num w:numId="14" w16cid:durableId="1263029207">
    <w:abstractNumId w:val="6"/>
  </w:num>
  <w:num w:numId="15" w16cid:durableId="1159151006">
    <w:abstractNumId w:val="0"/>
  </w:num>
  <w:num w:numId="16" w16cid:durableId="1559897705">
    <w:abstractNumId w:val="13"/>
  </w:num>
  <w:num w:numId="17" w16cid:durableId="56246608">
    <w:abstractNumId w:val="12"/>
  </w:num>
  <w:num w:numId="18" w16cid:durableId="296447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283911">
    <w:abstractNumId w:val="15"/>
  </w:num>
  <w:num w:numId="20" w16cid:durableId="1037125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9605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5716588">
    <w:abstractNumId w:val="8"/>
  </w:num>
  <w:num w:numId="23" w16cid:durableId="759134367">
    <w:abstractNumId w:val="14"/>
  </w:num>
  <w:num w:numId="24" w16cid:durableId="1386893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719922">
    <w:abstractNumId w:val="2"/>
  </w:num>
  <w:num w:numId="26" w16cid:durableId="297415345">
    <w:abstractNumId w:val="3"/>
  </w:num>
  <w:num w:numId="27" w16cid:durableId="2086023829">
    <w:abstractNumId w:val="11"/>
  </w:num>
  <w:num w:numId="28" w16cid:durableId="949700257">
    <w:abstractNumId w:val="10"/>
  </w:num>
  <w:num w:numId="29" w16cid:durableId="1941524349">
    <w:abstractNumId w:val="7"/>
  </w:num>
  <w:num w:numId="30" w16cid:durableId="1990355414">
    <w:abstractNumId w:val="4"/>
  </w:num>
  <w:num w:numId="31" w16cid:durableId="101728873">
    <w:abstractNumId w:val="6"/>
  </w:num>
  <w:num w:numId="32" w16cid:durableId="1634601454">
    <w:abstractNumId w:val="0"/>
  </w:num>
  <w:num w:numId="33" w16cid:durableId="1420834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9409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8B"/>
    <w:rsid w:val="00130A8B"/>
    <w:rsid w:val="00354F3C"/>
    <w:rsid w:val="0041586A"/>
    <w:rsid w:val="0060002B"/>
    <w:rsid w:val="006F2AC3"/>
    <w:rsid w:val="006F7F01"/>
    <w:rsid w:val="00732537"/>
    <w:rsid w:val="007A3F73"/>
    <w:rsid w:val="00972231"/>
    <w:rsid w:val="00A47B21"/>
    <w:rsid w:val="00BE2025"/>
    <w:rsid w:val="00CD2036"/>
    <w:rsid w:val="00D56389"/>
    <w:rsid w:val="00E1639E"/>
    <w:rsid w:val="00EC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B700"/>
  <w15:chartTrackingRefBased/>
  <w15:docId w15:val="{839B3CB6-4571-4A82-966C-09A52304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A8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6F2A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6F2AC3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rsid w:val="006F2AC3"/>
  </w:style>
  <w:style w:type="character" w:customStyle="1" w:styleId="iitem-txt">
    <w:name w:val="iitem-txt"/>
    <w:basedOn w:val="DefaultParagraphFont"/>
    <w:rsid w:val="006F2AC3"/>
  </w:style>
  <w:style w:type="character" w:styleId="Hyperlink">
    <w:name w:val="Hyperlink"/>
    <w:rsid w:val="006F2A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itutionalinvestor.com/article/2btfrsxj20ndcpa2x5qtc/innovation/doing-the-wall-street-walk-as-a-kind-of-shareholder-activi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3747</Words>
  <Characters>21361</Characters>
  <Application>Microsoft Office Word</Application>
  <DocSecurity>0</DocSecurity>
  <Lines>178</Lines>
  <Paragraphs>50</Paragraphs>
  <ScaleCrop>false</ScaleCrop>
  <Company/>
  <LinksUpToDate>false</LinksUpToDate>
  <CharactersWithSpaces>25058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Ho</dc:creator>
  <cp:keywords/>
  <dc:description/>
  <cp:lastModifiedBy>Kenneth Khoo</cp:lastModifiedBy>
  <cp:revision>7</cp:revision>
  <dcterms:created xsi:type="dcterms:W3CDTF">2024-08-05T12:05:00Z</dcterms:created>
  <dcterms:modified xsi:type="dcterms:W3CDTF">2026-06-15T10:38:00Z</dcterms:modified>
</cp:coreProperties>
</file>