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B0F5E" w:val="clear"/>
            <w:tcMar>
              <w:top w:type="dxa" w:w="560"/>
              <w:left w:type="dxa" w:w="480"/>
              <w:bottom w:type="dxa" w:w="560"/>
              <w:right w:type="dxa" w:w="480"/>
            </w:tcMar>
          </w:tcPr>
          <w:p>
            <w:pPr>
              <w:spacing w:after="60"/>
              <w:jc w:val="center"/>
            </w:pPr>
            <w:r>
              <w:rPr>
                <w:rFonts w:ascii="Arial" w:cs="Arial" w:eastAsia="Arial" w:hAnsi="Arial"/>
                <w:b/>
                <w:bCs/>
                <w:color w:val="9B7FE8"/>
                <w:sz w:val="20"/>
                <w:szCs w:val="20"/>
              </w:rPr>
              <w:t xml:space="preserve">NEAR FOUNDATION GRANT APPLICATION</w:t>
            </w:r>
          </w:p>
          <w:p>
            <w:pPr>
              <w:spacing w:after="100"/>
              <w:jc w:val="center"/>
            </w:pPr>
            <w:r>
              <w:rPr>
                <w:rFonts w:ascii="Arial" w:cs="Arial" w:eastAsia="Arial" w:hAnsi="Arial"/>
                <w:b/>
                <w:bCs/>
                <w:color w:val="FFFFFF"/>
                <w:sz w:val="64"/>
                <w:szCs w:val="64"/>
              </w:rPr>
              <w:t xml:space="preserve">VELCRO WALLET</w:t>
            </w:r>
          </w:p>
          <w:p>
            <w:pPr>
              <w:spacing w:after="160"/>
              <w:jc w:val="center"/>
            </w:pPr>
            <w:r>
              <w:rPr>
                <w:rFonts w:ascii="Arial" w:cs="Arial" w:eastAsia="Arial" w:hAnsi="Arial"/>
                <w:color w:val="C4B0FF"/>
                <w:sz w:val="28"/>
                <w:szCs w:val="28"/>
              </w:rPr>
              <w:t xml:space="preserve">HOOK.  LOOP.  HOLD.</w:t>
            </w:r>
          </w:p>
          <w:p>
            <w:pPr>
              <w:spacing w:after="100"/>
              <w:jc w:val="center"/>
            </w:pPr>
            <w:r>
              <w:rPr>
                <w:rFonts w:ascii="Arial" w:cs="Arial" w:eastAsia="Arial" w:hAnsi="Arial"/>
                <w:color w:val="4B2FB8"/>
                <w:sz w:val="28"/>
                <w:szCs w:val="28"/>
              </w:rPr>
              <w:t xml:space="preserve">—</w:t>
            </w:r>
          </w:p>
          <w:p>
            <w:pPr>
              <w:spacing w:after="80"/>
              <w:jc w:val="center"/>
            </w:pPr>
            <w:r>
              <w:rPr>
                <w:rFonts w:ascii="Arial" w:cs="Arial" w:eastAsia="Arial" w:hAnsi="Arial"/>
                <w:color w:val="9B7FE8"/>
                <w:sz w:val="22"/>
                <w:szCs w:val="22"/>
              </w:rPr>
              <w:t xml:space="preserve">Lara Stuart Mueller, Founder</w:t>
            </w:r>
          </w:p>
          <w:p>
            <w:pPr>
              <w:spacing w:after="60"/>
              <w:jc w:val="center"/>
            </w:pPr>
            <w:r>
              <w:rPr>
                <w:rFonts w:ascii="Arial" w:cs="Arial" w:eastAsia="Arial" w:hAnsi="Arial"/>
                <w:color w:val="6B4FD8"/>
                <w:sz w:val="20"/>
                <w:szCs w:val="20"/>
              </w:rPr>
              <w:t xml:space="preserve">loveconcursall  ·  Swiss GmbH (in formation)  ·  United States</w:t>
            </w:r>
          </w:p>
          <w:p>
            <w:pPr>
              <w:spacing w:after="60"/>
              <w:jc w:val="center"/>
            </w:pPr>
            <w:r>
              <w:rPr>
                <w:rFonts w:ascii="Arial" w:cs="Arial" w:eastAsia="Arial" w:hAnsi="Arial"/>
                <w:color w:val="9B7FE8"/>
                <w:sz w:val="20"/>
                <w:szCs w:val="20"/>
              </w:rPr>
              <w:t xml:space="preserve">lara@loveconcursall.com</w:t>
            </w:r>
          </w:p>
          <w:p>
            <w:pPr>
              <w:spacing w:after="60"/>
              <w:jc w:val="center"/>
            </w:pPr>
            <w:r>
              <w:rPr>
                <w:rFonts w:ascii="Arial" w:cs="Arial" w:eastAsia="Arial" w:hAnsi="Arial"/>
                <w:color w:val="C4B0FF"/>
                <w:sz w:val="20"/>
                <w:szCs w:val="20"/>
              </w:rPr>
              <w:t xml:space="preserve">velcro.dev  ·  velcro-technologies.com</w:t>
            </w:r>
          </w:p>
          <w:p>
            <w:pPr>
              <w:jc w:val="center"/>
            </w:pPr>
            <w:r>
              <w:rPr>
                <w:rFonts w:ascii="Arial" w:cs="Arial" w:eastAsia="Arial" w:hAnsi="Arial"/>
                <w:color w:val="6B4FD8"/>
                <w:sz w:val="20"/>
                <w:szCs w:val="20"/>
              </w:rPr>
              <w:t xml:space="preserve">Grant Request: $150,000 USD  ·  Wallet Infrastructure + AI Integration</w:t>
            </w:r>
          </w:p>
        </w:tc>
      </w:tr>
    </w:tbl>
    <w:p>
      <w:pPr>
        <w:spacing w:before="0" w:after="200"/>
      </w:pPr>
      <w:r>
        <w:t xml:space="preserve"/>
      </w:r>
    </w:p>
    <w:p>
      <w:pPr>
        <w:pStyle w:val="Heading1"/>
        <w:pBdr>
          <w:bottom w:val="single" w:color="4B2FB8" w:sz="6" w:space="4"/>
        </w:pBdr>
        <w:spacing w:before="400" w:after="180"/>
      </w:pPr>
      <w:r>
        <w:rPr>
          <w:rFonts w:ascii="Arial" w:cs="Arial" w:eastAsia="Arial" w:hAnsi="Arial"/>
          <w:b/>
          <w:bCs/>
          <w:color w:val="2D1A8A"/>
          <w:sz w:val="30"/>
          <w:szCs w:val="30"/>
        </w:rPr>
        <w:t xml:space="preserve">Section 1 — Project Summary</w:t>
      </w:r>
    </w:p>
    <w:p>
      <w:pPr>
        <w:spacing w:before="0" w:after="10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200"/>
        <w:gridCol w:w="7160"/>
      </w:tblGrid>
      <w:tr>
        <w:tc>
          <w:tcPr>
            <w:tcW w:type="dxa" w:w="22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D1A8A"/>
                <w:sz w:val="20"/>
                <w:szCs w:val="20"/>
              </w:rPr>
              <w:t xml:space="preserve">Project Name</w:t>
            </w:r>
          </w:p>
        </w:tc>
        <w:tc>
          <w:tcPr>
            <w:tcW w:type="dxa" w:w="71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Velcro Wallet</w:t>
            </w:r>
          </w:p>
        </w:tc>
      </w:tr>
      <w:tr>
        <w:tc>
          <w:tcPr>
            <w:tcW w:type="dxa" w:w="220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b/>
                <w:bCs/>
                <w:color w:val="2D1A8A"/>
                <w:sz w:val="20"/>
                <w:szCs w:val="20"/>
              </w:rPr>
              <w:t xml:space="preserve">Tagline</w:t>
            </w:r>
          </w:p>
        </w:tc>
        <w:tc>
          <w:tcPr>
            <w:tcW w:type="dxa" w:w="716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color w:val="333333"/>
                <w:sz w:val="20"/>
                <w:szCs w:val="20"/>
              </w:rPr>
              <w:t xml:space="preserve">Hook. Loop. Hold.</w:t>
            </w:r>
          </w:p>
        </w:tc>
      </w:tr>
      <w:tr>
        <w:tc>
          <w:tcPr>
            <w:tcW w:type="dxa" w:w="22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D1A8A"/>
                <w:sz w:val="20"/>
                <w:szCs w:val="20"/>
              </w:rPr>
              <w:t xml:space="preserve">Applicant</w:t>
            </w:r>
          </w:p>
        </w:tc>
        <w:tc>
          <w:tcPr>
            <w:tcW w:type="dxa" w:w="71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Lara Stuart Mueller</w:t>
            </w:r>
          </w:p>
        </w:tc>
      </w:tr>
      <w:tr>
        <w:tc>
          <w:tcPr>
            <w:tcW w:type="dxa" w:w="220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b/>
                <w:bCs/>
                <w:color w:val="2D1A8A"/>
                <w:sz w:val="20"/>
                <w:szCs w:val="20"/>
              </w:rPr>
              <w:t xml:space="preserve">Organization</w:t>
            </w:r>
          </w:p>
        </w:tc>
        <w:tc>
          <w:tcPr>
            <w:tcW w:type="dxa" w:w="716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color w:val="333333"/>
                <w:sz w:val="20"/>
                <w:szCs w:val="20"/>
              </w:rPr>
              <w:t xml:space="preserve">loveconcursall (Swiss GmbH in formation)</w:t>
            </w:r>
          </w:p>
        </w:tc>
      </w:tr>
      <w:tr>
        <w:tc>
          <w:tcPr>
            <w:tcW w:type="dxa" w:w="22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D1A8A"/>
                <w:sz w:val="20"/>
                <w:szCs w:val="20"/>
              </w:rPr>
              <w:t xml:space="preserve">Email</w:t>
            </w:r>
          </w:p>
        </w:tc>
        <w:tc>
          <w:tcPr>
            <w:tcW w:type="dxa" w:w="71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lara@loveconcursall.com</w:t>
            </w:r>
          </w:p>
        </w:tc>
      </w:tr>
      <w:tr>
        <w:tc>
          <w:tcPr>
            <w:tcW w:type="dxa" w:w="220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b/>
                <w:bCs/>
                <w:color w:val="2D1A8A"/>
                <w:sz w:val="20"/>
                <w:szCs w:val="20"/>
              </w:rPr>
              <w:t xml:space="preserve">Developer Site</w:t>
            </w:r>
          </w:p>
        </w:tc>
        <w:tc>
          <w:tcPr>
            <w:tcW w:type="dxa" w:w="716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color w:val="333333"/>
                <w:sz w:val="20"/>
                <w:szCs w:val="20"/>
              </w:rPr>
              <w:t xml:space="preserve">velcro.dev — open source docs, SDK, developer onboarding</w:t>
            </w:r>
          </w:p>
        </w:tc>
      </w:tr>
      <w:tr>
        <w:tc>
          <w:tcPr>
            <w:tcW w:type="dxa" w:w="22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D1A8A"/>
                <w:sz w:val="20"/>
                <w:szCs w:val="20"/>
              </w:rPr>
              <w:t xml:space="preserve">Product Site</w:t>
            </w:r>
          </w:p>
        </w:tc>
        <w:tc>
          <w:tcPr>
            <w:tcW w:type="dxa" w:w="71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velcro-technologies.com — consumer-facing product, waitlist, brand</w:t>
            </w:r>
          </w:p>
        </w:tc>
      </w:tr>
      <w:tr>
        <w:tc>
          <w:tcPr>
            <w:tcW w:type="dxa" w:w="220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b/>
                <w:bCs/>
                <w:color w:val="2D1A8A"/>
                <w:sz w:val="20"/>
                <w:szCs w:val="20"/>
              </w:rPr>
              <w:t xml:space="preserve">Primary Location</w:t>
            </w:r>
          </w:p>
        </w:tc>
        <w:tc>
          <w:tcPr>
            <w:tcW w:type="dxa" w:w="716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color w:val="333333"/>
                <w:sz w:val="20"/>
                <w:szCs w:val="20"/>
              </w:rPr>
              <w:t xml:space="preserve">United States (Swiss national)</w:t>
            </w:r>
          </w:p>
        </w:tc>
      </w:tr>
      <w:tr>
        <w:tc>
          <w:tcPr>
            <w:tcW w:type="dxa" w:w="22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D1A8A"/>
                <w:sz w:val="20"/>
                <w:szCs w:val="20"/>
              </w:rPr>
              <w:t xml:space="preserve">Swiss Entity</w:t>
            </w:r>
          </w:p>
        </w:tc>
        <w:tc>
          <w:tcPr>
            <w:tcW w:type="dxa" w:w="71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GmbH formation in progress — FINMA-compliant architecture</w:t>
            </w:r>
          </w:p>
        </w:tc>
      </w:tr>
      <w:tr>
        <w:tc>
          <w:tcPr>
            <w:tcW w:type="dxa" w:w="220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b/>
                <w:bCs/>
                <w:color w:val="2D1A8A"/>
                <w:sz w:val="20"/>
                <w:szCs w:val="20"/>
              </w:rPr>
              <w:t xml:space="preserve">Build Stage</w:t>
            </w:r>
          </w:p>
        </w:tc>
        <w:tc>
          <w:tcPr>
            <w:tcW w:type="dxa" w:w="716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color w:val="333333"/>
                <w:sz w:val="20"/>
                <w:szCs w:val="20"/>
              </w:rPr>
              <w:t xml:space="preserve">Early development — architecture complete, core build in progress</w:t>
            </w:r>
          </w:p>
        </w:tc>
      </w:tr>
      <w:tr>
        <w:tc>
          <w:tcPr>
            <w:tcW w:type="dxa" w:w="22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D1A8A"/>
                <w:sz w:val="20"/>
                <w:szCs w:val="20"/>
              </w:rPr>
              <w:t xml:space="preserve">Grant Category</w:t>
            </w:r>
          </w:p>
        </w:tc>
        <w:tc>
          <w:tcPr>
            <w:tcW w:type="dxa" w:w="71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Wallet Infrastructure / AI Integration / Open Source Public Goods</w:t>
            </w:r>
          </w:p>
        </w:tc>
      </w:tr>
      <w:tr>
        <w:tc>
          <w:tcPr>
            <w:tcW w:type="dxa" w:w="220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b/>
                <w:bCs/>
                <w:color w:val="2D1A8A"/>
                <w:sz w:val="20"/>
                <w:szCs w:val="20"/>
              </w:rPr>
              <w:t xml:space="preserve">Grant Requested</w:t>
            </w:r>
          </w:p>
        </w:tc>
        <w:tc>
          <w:tcPr>
            <w:tcW w:type="dxa" w:w="7160"/>
            <w:tcBorders>
              <w:top w:val="none" w:color="FFFFFF" w:sz="0"/>
              <w:left w:val="none" w:color="FFFFFF" w:sz="0"/>
              <w:bottom w:val="none" w:color="FFFFFF" w:sz="0"/>
              <w:right w:val="none" w:color="FFFFFF" w:sz="0"/>
            </w:tcBorders>
            <w:shd w:fill="E8E4FF" w:val="clear"/>
            <w:tcMar>
              <w:top w:type="dxa" w:w="80"/>
              <w:left w:type="dxa" w:w="120"/>
              <w:bottom w:type="dxa" w:w="80"/>
              <w:right w:type="dxa" w:w="120"/>
            </w:tcMar>
          </w:tcPr>
          <w:p>
            <w:r>
              <w:rPr>
                <w:rFonts w:ascii="Arial" w:cs="Arial" w:eastAsia="Arial" w:hAnsi="Arial"/>
                <w:color w:val="333333"/>
                <w:sz w:val="20"/>
                <w:szCs w:val="20"/>
              </w:rPr>
              <w:t xml:space="preserve">$150,000 USD (USD/EUR + NEAR tokens, milestone-based)</w:t>
            </w:r>
          </w:p>
        </w:tc>
      </w:tr>
    </w:tbl>
    <w:p>
      <w:pPr>
        <w:spacing w:before="0" w:after="100"/>
      </w:pPr>
      <w:r>
        <w:t xml:space="preserve"/>
      </w:r>
    </w:p>
    <w:p>
      <w:pPr>
        <w:pBdr>
          <w:bottom w:val="single" w:color="9B7FE8" w:sz="2" w:space="1"/>
        </w:pBdr>
        <w:spacing w:before="200" w:after="200"/>
      </w:pPr>
      <w:r>
        <w:t xml:space="preserve"/>
      </w:r>
    </w:p>
    <w:p>
      <w:r>
        <w:br w:type="page"/>
      </w:r>
    </w:p>
    <w:p>
      <w:pPr>
        <w:pStyle w:val="Heading1"/>
        <w:pBdr>
          <w:bottom w:val="single" w:color="4B2FB8" w:sz="6" w:space="4"/>
        </w:pBdr>
        <w:spacing w:before="400" w:after="180"/>
      </w:pPr>
      <w:r>
        <w:rPr>
          <w:rFonts w:ascii="Arial" w:cs="Arial" w:eastAsia="Arial" w:hAnsi="Arial"/>
          <w:b/>
          <w:bCs/>
          <w:color w:val="2D1A8A"/>
          <w:sz w:val="30"/>
          <w:szCs w:val="30"/>
        </w:rPr>
        <w:t xml:space="preserve">Section 2 — The Product</w:t>
        <w:p>
          <w:pPr>
            <w:jc w:val="center"/>
            <w:spacing w:before="120" w:after="120"/>
          </w:pPr>
          <w:r>
            <w:rPr/>
            <w:drawing>
              <wp:inline>
                <wp:extent cx="3657600" cy="2550082"/>
                <wp:docPr id="1" name="img"/>
                <a:graphic xmlns:a="http://schemas.openxmlformats.org/drawingml/2006/main">
                  <a:graphicData uri="http://schemas.openxmlformats.org/drawingml/2006/picture">
                    <pic:pic xmlns:pic="http://schemas.openxmlformats.org/drawingml/2006/picture">
                      <pic:nvPicPr>
                        <pic:cNvPr id="1" name="img"/>
                        <pic:cNvPicPr/>
                      </pic:nvPicPr>
                      <pic:blipFill>
                        <a:blip r:embed="rId9"/>
                        <a:stretch>
                          <a:fillRect/>
                        </a:stretch>
                      </pic:blipFill>
                      <pic:spPr>
                        <a:xfrm>
                          <a:off x="0" y="0"/>
                          <a:ext cx="3657600" cy="2550082"/>
                        </a:xfrm>
                        <a:prstGeom prst="rect">
                          <a:avLst/>
                        </a:prstGeom>
                      </pic:spPr>
                    </pic:pic>
                  </a:graphicData>
                </a:graphic>
              </wp:inline>
            </w:drawing>
          </w:r>
        </w:p>
        <w:p>
          <w:pPr>
            <w:jc w:val="center"/>
            <w:spacing w:before="40" w:after="120"/>
          </w:pPr>
          <w:r>
            <w:rPr>
              <w:rFonts w:ascii="Arial" w:hAnsi="Arial"/>
              <w:i/>
              <w:color w:val="6B4FD8"/>
              <w:sz w:val="18"/>
            </w:rPr>
            <w:t xml:space="preserve">Velcro Wallet — peer-to-peer architecture. Hook layer, Loop layer, on-chain identity.</w:t>
          </w:r>
        </w:p>
        <w:p>
          <w:pPr>
            <w:jc w:val="center"/>
            <w:spacing w:before="120" w:after="120"/>
          </w:pPr>
          <w:r>
            <w:rPr/>
            <w:drawing>
              <wp:inline>
                <wp:extent cx="3657600" cy="2133600"/>
                <wp:docPr id="1" name="img"/>
                <a:graphic xmlns:a="http://schemas.openxmlformats.org/drawingml/2006/main">
                  <a:graphicData uri="http://schemas.openxmlformats.org/drawingml/2006/picture">
                    <pic:pic xmlns:pic="http://schemas.openxmlformats.org/drawingml/2006/picture">
                      <pic:nvPicPr>
                        <pic:cNvPr id="1" name="img"/>
                        <pic:cNvPicPr/>
                      </pic:nvPicPr>
                      <pic:blipFill>
                        <a:blip r:embed="rId10"/>
                        <a:stretch>
                          <a:fillRect/>
                        </a:stretch>
                      </pic:blipFill>
                      <pic:spPr>
                        <a:xfrm>
                          <a:off x="0" y="0"/>
                          <a:ext cx="3657600" cy="2133600"/>
                        </a:xfrm>
                        <a:prstGeom prst="rect">
                          <a:avLst/>
                        </a:prstGeom>
                      </pic:spPr>
                    </pic:pic>
                  </a:graphicData>
                </a:graphic>
              </wp:inline>
            </w:drawing>
          </w:r>
        </w:p>
        <w:p>
          <w:pPr>
            <w:jc w:val="center"/>
            <w:spacing w:before="40" w:after="120"/>
          </w:pPr>
          <w:r>
            <w:rPr>
              <w:rFonts w:ascii="Arial" w:hAnsi="Arial"/>
              <w:i/>
              <w:color w:val="6B4FD8"/>
              <w:sz w:val="18"/>
            </w:rPr>
            <w:t xml:space="preserve">Velcro Wallet open — agent interfaces: Trade Safety, Language Toggle, Portfolio Intelligence, Counterparty Trust.</w:t>
          </w:r>
        </w:p>
      </w:r>
    </w:p>
    <w:p>
      <w:pPr>
        <w:spacing w:before="0" w:after="100"/>
      </w:pPr>
      <w:r>
        <w:t xml:space="preserve"/>
      </w:r>
    </w:p>
    <w:p>
      <w:pPr>
        <w:spacing w:before="120" w:after="80"/>
        <w:jc w:val="center"/>
      </w:pPr>
      <w:r>
        <w:drawing>
          <wp:inline distT="0" distB="0" distL="0" distR="0">
            <wp:extent cx="5334000" cy="37147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334000" cy="3714750"/>
                    </a:xfrm>
                    <a:prstGeom prst="rect">
                      <a:avLst/>
                    </a:prstGeom>
                  </pic:spPr>
                </pic:pic>
              </a:graphicData>
            </a:graphic>
          </wp:inline>
        </w:drawing>
      </w:r>
    </w:p>
    <w:p>
      <w:pPr>
        <w:spacing w:after="60"/>
        <w:jc w:val="center"/>
      </w:pPr>
      <w:r>
        <w:rPr>
          <w:rFonts w:ascii="Arial" w:cs="Arial" w:eastAsia="Arial" w:hAnsi="Arial"/>
          <w:b/>
          <w:bCs/>
          <w:color w:val="2D1A8A"/>
          <w:sz w:val="20"/>
          <w:szCs w:val="20"/>
        </w:rPr>
        <w:t xml:space="preserve">Velcro Wallet — Peer-to-Peer Crypto Wallet</w:t>
      </w:r>
    </w:p>
    <w:p>
      <w:pPr>
        <w:spacing w:after="160"/>
        <w:jc w:val="center"/>
      </w:pPr>
      <w:r>
        <w:rPr>
          <w:rFonts w:ascii="Arial" w:cs="Arial" w:eastAsia="Arial" w:hAnsi="Arial"/>
          <w:i/>
          <w:iCs/>
          <w:color w:val="6B4FD8"/>
          <w:sz w:val="18"/>
          <w:szCs w:val="18"/>
        </w:rPr>
        <w:t xml:space="preserve">Hook layer (NEAR Intents cross-chain execution)  ·  Loop layer (P2P trade)  ·  On-chain identity</w:t>
      </w:r>
    </w:p>
    <w:p>
      <w:pPr>
        <w:spacing w:before="0" w:after="100"/>
      </w:pPr>
      <w:r>
        <w:t xml:space="preserve"/>
      </w:r>
    </w:p>
    <w:p>
      <w:pPr>
        <w:spacing w:before="80" w:after="80"/>
      </w:pPr>
      <w:r>
        <w:rPr>
          <w:rFonts w:ascii="Arial" w:cs="Arial" w:eastAsia="Arial" w:hAnsi="Arial"/>
          <w:color w:val="222222"/>
          <w:sz w:val="22"/>
          <w:szCs w:val="22"/>
        </w:rPr>
        <w:t xml:space="preserve">The Velcro wallet interface is designed around three visible structural layers that mirror the product’s architecture. The Hook layer represents NEAR Intents integration — cross-chain execution where the user states an outcome and the system routes it. The Loop layer is the P2P trade surface, where two peers exchange directly with the Counterparty Intelligence Agent running silently underneath. The bottom bar shows the user’s wallet address and balance — always in dollar terms in Everyday mode, always on-chain terms in Pro mode.</w:t>
      </w:r>
    </w:p>
    <w:p>
      <w:pPr>
        <w:spacing w:before="0" w:after="100"/>
      </w:pPr>
      <w:r>
        <w:t xml:space="preserve"/>
      </w:r>
    </w:p>
    <w:p>
      <w:pPr>
        <w:spacing w:before="80" w:after="80"/>
      </w:pPr>
      <w:r>
        <w:rPr>
          <w:rFonts w:ascii="Arial" w:cs="Arial" w:eastAsia="Arial" w:hAnsi="Arial"/>
          <w:color w:val="222222"/>
          <w:sz w:val="22"/>
          <w:szCs w:val="22"/>
        </w:rPr>
        <w:t xml:space="preserve">Two peer nodes flank the wallet on each side, showing TX (transmit) and RX (receive) connections — a visual representation of the non-custodial, peer-to-peer architecture where no central party sits between sender and receiver.</w:t>
      </w:r>
    </w:p>
    <w:p>
      <w:pPr>
        <w:spacing w:before="0" w:after="100"/>
      </w:pPr>
      <w:r>
        <w:t xml:space="preserve"/>
      </w:r>
    </w:p>
    <w:p>
      <w:pPr>
        <w:pBdr>
          <w:bottom w:val="single" w:color="9B7FE8" w:sz="2" w:space="1"/>
        </w:pBdr>
        <w:spacing w:before="200" w:after="200"/>
      </w:pPr>
      <w:r>
        <w:t xml:space="preserve"/>
      </w:r>
    </w:p>
    <w:p>
      <w:r>
        <w:br w:type="page"/>
      </w:r>
    </w:p>
    <w:p>
      <w:pPr>
        <w:pStyle w:val="Heading1"/>
        <w:pBdr>
          <w:bottom w:val="single" w:color="4B2FB8" w:sz="6" w:space="4"/>
        </w:pBdr>
        <w:spacing w:before="400" w:after="180"/>
      </w:pPr>
      <w:r>
        <w:rPr>
          <w:rFonts w:ascii="Arial" w:cs="Arial" w:eastAsia="Arial" w:hAnsi="Arial"/>
          <w:b/>
          <w:bCs/>
          <w:color w:val="2D1A8A"/>
          <w:sz w:val="30"/>
          <w:szCs w:val="30"/>
        </w:rPr>
        <w:t xml:space="preserve">Section 3 — Project Description</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What is Velcro Wallet?</w:t>
      </w:r>
    </w:p>
    <w:p>
      <w:pPr>
        <w:spacing w:before="80" w:after="80"/>
      </w:pPr>
      <w:r>
        <w:rPr>
          <w:rFonts w:ascii="Arial" w:cs="Arial" w:eastAsia="Arial" w:hAnsi="Arial"/>
          <w:color w:val="222222"/>
          <w:sz w:val="22"/>
          <w:szCs w:val="22"/>
        </w:rPr>
        <w:t xml:space="preserve">Velcro is a non-custodial, peer-to-peer crypto and fiat wallet with a six-agent AI coordination layer, a three-mode language toggle for mainstream accessibility, integrated traditional banking, and native NEAR Intents and Chain Signatures integration. It is built to be as easy as PayPal for a first-time user and as powerful as a professional trading terminal for an experienced trader — free forever, radically transparent, and designed from the ground up with human dignity at the architecture level.</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Why NEAR Protocol — Alignment of Values</w:t>
      </w:r>
    </w:p>
    <w:p>
      <w:pPr>
        <w:spacing w:before="80" w:after="80"/>
      </w:pPr>
      <w:r>
        <w:rPr>
          <w:rFonts w:ascii="Arial" w:cs="Arial" w:eastAsia="Arial" w:hAnsi="Arial"/>
          <w:color w:val="222222"/>
          <w:sz w:val="22"/>
          <w:szCs w:val="22"/>
        </w:rPr>
        <w:t xml:space="preserve">Velcro is not approaching NEAR Foundation purely for capital. We are approaching NEAR because the philosophical alignment between what NEAR is building and what Velcro stands for is exact and rare.</w:t>
      </w:r>
    </w:p>
    <w:p>
      <w:pPr>
        <w:spacing w:before="0" w:after="100"/>
      </w:pPr>
      <w:r>
        <w:t xml:space="preserve"/>
      </w:r>
    </w:p>
    <w:p>
      <w:pPr>
        <w:pStyle w:val="ListParagraph"/>
        <w:numPr>
          <w:ilvl w:val="0"/>
          <w:numId w:val="2"/>
        </w:numPr>
        <w:spacing w:before="60" w:after="60"/>
      </w:pPr>
      <w:r>
        <w:rPr>
          <w:rFonts w:ascii="Arial" w:cs="Arial" w:eastAsia="Arial" w:hAnsi="Arial"/>
          <w:b/>
          <w:bCs/>
          <w:color w:val="4B2FB8"/>
          <w:sz w:val="22"/>
          <w:szCs w:val="22"/>
        </w:rPr>
        <w:t xml:space="preserve">NEAR’s on-chain governance, open-source protocol development, and public Infrastructure Committee funding decisions reflect the same radical transparency that Velcro encodes into its product. We show users our spread. NEAR shows token holders its roadmap decisions. Both are built on the conviction that opacity is how extraction hides, and transparency is how trust compounds. </w:t>
      </w:r>
      <w:r>
        <w:rPr>
          <w:rFonts w:ascii="Arial" w:cs="Arial" w:eastAsia="Arial" w:hAnsi="Arial"/>
          <w:color w:val="333333"/>
          <w:sz w:val="22"/>
          <w:szCs w:val="22"/>
        </w:rPr>
        <w:t xml:space="preserve">Transparency by design.</w:t>
      </w:r>
    </w:p>
    <w:p>
      <w:pPr>
        <w:pStyle w:val="ListParagraph"/>
        <w:numPr>
          <w:ilvl w:val="0"/>
          <w:numId w:val="2"/>
        </w:numPr>
        <w:spacing w:before="60" w:after="60"/>
      </w:pPr>
      <w:r>
        <w:rPr>
          <w:rFonts w:ascii="Arial" w:cs="Arial" w:eastAsia="Arial" w:hAnsi="Arial"/>
          <w:b/>
          <w:bCs/>
          <w:color w:val="4B2FB8"/>
          <w:sz w:val="22"/>
          <w:szCs w:val="22"/>
        </w:rPr>
        <w:t xml:space="preserve">NEAR’s Network Nervous System and community governance through DevHub mean that the protocol’s direction is accountable to its stakeholders, not a founding team behind closed doors. Velcro’s non-custodial architecture and open source agent SDK extend that same accountability to users — the code is readable, the fees are disclosed, the keys stay with the owner. </w:t>
      </w:r>
      <w:r>
        <w:rPr>
          <w:rFonts w:ascii="Arial" w:cs="Arial" w:eastAsia="Arial" w:hAnsi="Arial"/>
          <w:color w:val="333333"/>
          <w:sz w:val="22"/>
          <w:szCs w:val="22"/>
        </w:rPr>
        <w:t xml:space="preserve">Accountability through governance.</w:t>
      </w:r>
    </w:p>
    <w:p>
      <w:pPr>
        <w:pStyle w:val="ListParagraph"/>
        <w:numPr>
          <w:ilvl w:val="0"/>
          <w:numId w:val="2"/>
        </w:numPr>
        <w:spacing w:before="60" w:after="60"/>
      </w:pPr>
      <w:r>
        <w:rPr>
          <w:rFonts w:ascii="Arial" w:cs="Arial" w:eastAsia="Arial" w:hAnsi="Arial"/>
          <w:b/>
          <w:bCs/>
          <w:color w:val="4B2FB8"/>
          <w:sz w:val="22"/>
          <w:szCs w:val="22"/>
        </w:rPr>
        <w:t xml:space="preserve">NEAR’s explicit focus on user-owned AI — agents that act in users’ interests rather than extracting from them — is precisely Velcro’s founding principle. Every agent in the Velcro stack is designed to serve the user holding the wallet, not to extract data or route trades for platform benefit. This is civil rights architecture applied to AI. </w:t>
      </w:r>
      <w:r>
        <w:rPr>
          <w:rFonts w:ascii="Arial" w:cs="Arial" w:eastAsia="Arial" w:hAnsi="Arial"/>
          <w:color w:val="333333"/>
          <w:sz w:val="22"/>
          <w:szCs w:val="22"/>
        </w:rPr>
        <w:t xml:space="preserve">User-owned AI as a civil right.</w:t>
      </w:r>
    </w:p>
    <w:p>
      <w:pPr>
        <w:pStyle w:val="ListParagraph"/>
        <w:numPr>
          <w:ilvl w:val="0"/>
          <w:numId w:val="2"/>
        </w:numPr>
        <w:spacing w:before="60" w:after="60"/>
      </w:pPr>
      <w:r>
        <w:rPr>
          <w:rFonts w:ascii="Arial" w:cs="Arial" w:eastAsia="Arial" w:hAnsi="Arial"/>
          <w:b/>
          <w:bCs/>
          <w:color w:val="4B2FB8"/>
          <w:sz w:val="22"/>
          <w:szCs w:val="22"/>
        </w:rPr>
        <w:t xml:space="preserve">Neither NEAR nor Velcro pursues decentralisation as a philosophical position. Both pursue it because centralised systems create single points of failure, exploitation, and exclusion. The 2.6 billion unbanked people on earth are not unbanked because they lack access to good people — they are unbanked because centralised financial infrastructure has no business model that serves them. NEAR’s chain abstraction and Velcro’s language toggle are both attempts to solve the same problem from different ends of the stack. </w:t>
      </w:r>
      <w:r>
        <w:rPr>
          <w:rFonts w:ascii="Arial" w:cs="Arial" w:eastAsia="Arial" w:hAnsi="Arial"/>
          <w:color w:val="333333"/>
          <w:sz w:val="22"/>
          <w:szCs w:val="22"/>
        </w:rPr>
        <w:t xml:space="preserve">Decentralisation as inclusion, not ideology.</w:t>
      </w:r>
    </w:p>
    <w:p>
      <w:pPr>
        <w:spacing w:before="0" w:after="10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60"/>
        <w:gridCol w:w="9200"/>
      </w:tblGrid>
      <w:tr>
        <w:tc>
          <w:tcPr>
            <w:tcW w:type="dxa" w:w="160"/>
            <w:tcBorders>
              <w:top w:val="none" w:color="FFFFFF" w:sz="0"/>
              <w:left w:val="none" w:color="FFFFFF" w:sz="0"/>
              <w:bottom w:val="none" w:color="FFFFFF" w:sz="0"/>
              <w:right w:val="none" w:color="FFFFFF" w:sz="0"/>
            </w:tcBorders>
            <w:shd w:fill="2D1A8A" w:val="clear"/>
          </w:tcPr>
          <w:p>
            <w:r>
              <w:t xml:space="preserve"/>
            </w:r>
          </w:p>
        </w:tc>
        <w:tc>
          <w:tcPr>
            <w:tcW w:type="dxa" w:w="920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pPr>
              <w:spacing w:after="40"/>
            </w:pPr>
            <w:r>
              <w:rPr>
                <w:rFonts w:ascii="Arial" w:cs="Arial" w:eastAsia="Arial" w:hAnsi="Arial"/>
                <w:b/>
                <w:bCs/>
                <w:color w:val="2D1A8A"/>
                <w:sz w:val="20"/>
                <w:szCs w:val="20"/>
              </w:rPr>
              <w:t xml:space="preserve">The Alignment in One Sentence</w:t>
            </w:r>
          </w:p>
          <w:p>
            <w:r>
              <w:rPr>
                <w:rFonts w:ascii="Arial" w:cs="Arial" w:eastAsia="Arial" w:hAnsi="Arial"/>
                <w:color w:val="333333"/>
                <w:sz w:val="20"/>
                <w:szCs w:val="20"/>
              </w:rPr>
              <w:t xml:space="preserve">NEAR is building the infrastructure for a more transparent, accountable, and user-owned Web3. Velcro is building the consumer product that delivers that infrastructure to the people who need it most. This grant funds the bridge between the two.</w:t>
            </w:r>
          </w:p>
        </w:tc>
      </w:tr>
    </w:tbl>
    <w:p>
      <w:pPr>
        <w:spacing w:before="0" w:after="100"/>
      </w:pPr>
      <w:r>
        <w:t xml:space="preserve"/>
      </w:r>
    </w:p>
    <w:p>
      <w:pPr>
        <w:pStyle w:val="Heading2"/>
        <w:spacing w:before="280" w:after="120"/>
      </w:pPr>
      <w:r>
        <w:rPr>
          <w:rFonts w:ascii="Arial" w:cs="Arial" w:eastAsia="Arial" w:hAnsi="Arial"/>
          <w:b/>
          <w:bCs/>
          <w:color w:val="4B2FB8"/>
          <w:sz w:val="24"/>
          <w:szCs w:val="24"/>
        </w:rPr>
        <w:t xml:space="preserve">The Problem We Are Solving</w:t>
      </w:r>
    </w:p>
    <w:p>
      <w:pPr>
        <w:pStyle w:val="ListParagraph"/>
        <w:numPr>
          <w:ilvl w:val="0"/>
          <w:numId w:val="2"/>
        </w:numPr>
        <w:spacing w:before="60" w:after="60"/>
      </w:pPr>
      <w:r>
        <w:rPr>
          <w:rFonts w:ascii="Arial" w:cs="Arial" w:eastAsia="Arial" w:hAnsi="Arial"/>
          <w:b/>
          <w:bCs/>
          <w:color w:val="4B2FB8"/>
          <w:sz w:val="22"/>
          <w:szCs w:val="22"/>
        </w:rPr>
        <w:t xml:space="preserve">Phantom, MetaMask, and Rabby are excellent products for technically literate users. For the other 99%, they are unusable. Gas, slippage, contract risk — none of it is explained. </w:t>
      </w:r>
      <w:r>
        <w:rPr>
          <w:rFonts w:ascii="Arial" w:cs="Arial" w:eastAsia="Arial" w:hAnsi="Arial"/>
          <w:color w:val="333333"/>
          <w:sz w:val="22"/>
          <w:szCs w:val="22"/>
        </w:rPr>
        <w:t xml:space="preserve">Powerful wallets are inaccessible.</w:t>
      </w:r>
    </w:p>
    <w:p>
      <w:pPr>
        <w:pStyle w:val="ListParagraph"/>
        <w:numPr>
          <w:ilvl w:val="0"/>
          <w:numId w:val="2"/>
        </w:numPr>
        <w:spacing w:before="60" w:after="60"/>
      </w:pPr>
      <w:r>
        <w:rPr>
          <w:rFonts w:ascii="Arial" w:cs="Arial" w:eastAsia="Arial" w:hAnsi="Arial"/>
          <w:b/>
          <w:bCs/>
          <w:color w:val="4B2FB8"/>
          <w:sz w:val="22"/>
          <w:szCs w:val="22"/>
        </w:rPr>
        <w:t xml:space="preserve">Friendly interfaces to a system that can drain a wallet in one tap. No pre-trade simulation. No contract audit checking. No honeypot detection. The FBI reported $3.9B lost to crypto scams in 2023 alone. </w:t>
      </w:r>
      <w:r>
        <w:rPr>
          <w:rFonts w:ascii="Arial" w:cs="Arial" w:eastAsia="Arial" w:hAnsi="Arial"/>
          <w:color w:val="333333"/>
          <w:sz w:val="22"/>
          <w:szCs w:val="22"/>
        </w:rPr>
        <w:t xml:space="preserve">Simple wallets are unsafe.</w:t>
      </w:r>
    </w:p>
    <w:p>
      <w:pPr>
        <w:pStyle w:val="ListParagraph"/>
        <w:numPr>
          <w:ilvl w:val="0"/>
          <w:numId w:val="2"/>
        </w:numPr>
        <w:spacing w:before="60" w:after="60"/>
      </w:pPr>
      <w:r>
        <w:rPr>
          <w:rFonts w:ascii="Arial" w:cs="Arial" w:eastAsia="Arial" w:hAnsi="Arial"/>
          <w:b/>
          <w:bCs/>
          <w:color w:val="4B2FB8"/>
          <w:sz w:val="22"/>
          <w:szCs w:val="22"/>
        </w:rPr>
        <w:t xml:space="preserve">2.6 billion people remain unbanked or underbanked. The wallets that exist today assume a bank account, a recent device, and English-language technical literacy. </w:t>
      </w:r>
      <w:r>
        <w:rPr>
          <w:rFonts w:ascii="Arial" w:cs="Arial" w:eastAsia="Arial" w:hAnsi="Arial"/>
          <w:color w:val="333333"/>
          <w:sz w:val="22"/>
          <w:szCs w:val="22"/>
        </w:rPr>
        <w:t xml:space="preserve">Neither serves the global majority.</w:t>
      </w:r>
    </w:p>
    <w:p>
      <w:pPr>
        <w:spacing w:before="0" w:after="100"/>
      </w:pPr>
      <w:r>
        <w:t xml:space="preserve"/>
      </w:r>
    </w:p>
    <w:p>
      <w:pPr>
        <w:pBdr>
          <w:bottom w:val="single" w:color="9B7FE8" w:sz="2" w:space="1"/>
        </w:pBdr>
        <w:spacing w:before="200" w:after="200"/>
      </w:pPr>
      <w:r>
        <w:t xml:space="preserve"/>
      </w:r>
    </w:p>
    <w:p>
      <w:r>
        <w:br w:type="page"/>
      </w:r>
    </w:p>
    <w:p>
      <w:pPr>
        <w:pStyle w:val="Heading1"/>
        <w:pBdr>
          <w:bottom w:val="single" w:color="4B2FB8" w:sz="6" w:space="4"/>
        </w:pBdr>
        <w:spacing w:before="400" w:after="180"/>
      </w:pPr>
      <w:r>
        <w:rPr>
          <w:rFonts w:ascii="Arial" w:cs="Arial" w:eastAsia="Arial" w:hAnsi="Arial"/>
          <w:b/>
          <w:bCs/>
          <w:color w:val="2D1A8A"/>
          <w:sz w:val="30"/>
          <w:szCs w:val="30"/>
        </w:rPr>
        <w:t xml:space="preserve">Section 4 — Web Presence — Two Sites, Two Audiences</w:t>
      </w:r>
    </w:p>
    <w:p>
      <w:pPr>
        <w:spacing w:before="0" w:after="100"/>
      </w:pPr>
      <w:r>
        <w:t xml:space="preserve"/>
      </w:r>
    </w:p>
    <w:p>
      <w:pPr>
        <w:spacing w:before="80" w:after="80"/>
      </w:pPr>
      <w:r>
        <w:rPr>
          <w:rFonts w:ascii="Arial" w:cs="Arial" w:eastAsia="Arial" w:hAnsi="Arial"/>
          <w:color w:val="222222"/>
          <w:sz w:val="22"/>
          <w:szCs w:val="22"/>
        </w:rPr>
        <w:t xml:space="preserve">Velcro operates two complementary web properties, each serving a distinct audience and purpose:</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velcro.dev — The Developer Hub</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60"/>
        <w:gridCol w:w="9200"/>
      </w:tblGrid>
      <w:tr>
        <w:tc>
          <w:tcPr>
            <w:tcW w:type="dxa" w:w="160"/>
            <w:tcBorders>
              <w:top w:val="none" w:color="FFFFFF" w:sz="0"/>
              <w:left w:val="none" w:color="FFFFFF" w:sz="0"/>
              <w:bottom w:val="none" w:color="FFFFFF" w:sz="0"/>
              <w:right w:val="none" w:color="FFFFFF" w:sz="0"/>
            </w:tcBorders>
            <w:shd w:fill="4B2FB8" w:val="clear"/>
          </w:tcPr>
          <w:p>
            <w:r>
              <w:t xml:space="preserve"/>
            </w:r>
          </w:p>
        </w:tc>
        <w:tc>
          <w:tcPr>
            <w:tcW w:type="dxa" w:w="920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pPr>
              <w:spacing w:after="40"/>
            </w:pPr>
            <w:r>
              <w:rPr>
                <w:rFonts w:ascii="Arial" w:cs="Arial" w:eastAsia="Arial" w:hAnsi="Arial"/>
                <w:b/>
                <w:bCs/>
                <w:color w:val="4B2FB8"/>
                <w:sz w:val="20"/>
                <w:szCs w:val="20"/>
              </w:rPr>
              <w:t xml:space="preserve">Purpose</w:t>
            </w:r>
          </w:p>
          <w:p>
            <w:r>
              <w:rPr>
                <w:rFonts w:ascii="Arial" w:cs="Arial" w:eastAsia="Arial" w:hAnsi="Arial"/>
                <w:color w:val="333333"/>
                <w:sz w:val="20"/>
                <w:szCs w:val="20"/>
              </w:rPr>
              <w:t xml:space="preserve">Open source documentation, SDK, technical architecture, NEAR integration guides, and developer onboarding. This is where the NEAR ecosystem builders come to integrate Velcro’s open source components into their own wallets and dApps.</w:t>
            </w:r>
          </w:p>
        </w:tc>
      </w:tr>
    </w:tbl>
    <w:p>
      <w:pPr>
        <w:spacing w:before="0" w:after="100"/>
      </w:pPr>
      <w:r>
        <w:t xml:space="preserve"/>
      </w:r>
    </w:p>
    <w:p>
      <w:pPr>
        <w:pStyle w:val="ListParagraph"/>
        <w:numPr>
          <w:ilvl w:val="0"/>
          <w:numId w:val="2"/>
        </w:numPr>
        <w:spacing w:before="60" w:after="60"/>
      </w:pPr>
      <w:r>
        <w:rPr>
          <w:rFonts w:ascii="Arial" w:cs="Arial" w:eastAsia="Arial" w:hAnsi="Arial"/>
          <w:color w:val="333333"/>
          <w:sz w:val="22"/>
          <w:szCs w:val="22"/>
        </w:rPr>
        <w:t xml:space="preserve">Open source agent coordination SDK documentation</w:t>
      </w:r>
    </w:p>
    <w:p>
      <w:pPr>
        <w:pStyle w:val="ListParagraph"/>
        <w:numPr>
          <w:ilvl w:val="0"/>
          <w:numId w:val="2"/>
        </w:numPr>
        <w:spacing w:before="60" w:after="60"/>
      </w:pPr>
      <w:r>
        <w:rPr>
          <w:rFonts w:ascii="Arial" w:cs="Arial" w:eastAsia="Arial" w:hAnsi="Arial"/>
          <w:color w:val="333333"/>
          <w:sz w:val="22"/>
          <w:szCs w:val="22"/>
        </w:rPr>
        <w:t xml:space="preserve">NEAR Intents and Chain Signatures integration guide</w:t>
      </w:r>
    </w:p>
    <w:p>
      <w:pPr>
        <w:pStyle w:val="ListParagraph"/>
        <w:numPr>
          <w:ilvl w:val="0"/>
          <w:numId w:val="2"/>
        </w:numPr>
        <w:spacing w:before="60" w:after="60"/>
      </w:pPr>
      <w:r>
        <w:rPr>
          <w:rFonts w:ascii="Arial" w:cs="Arial" w:eastAsia="Arial" w:hAnsi="Arial"/>
          <w:color w:val="333333"/>
          <w:sz w:val="22"/>
          <w:szCs w:val="22"/>
        </w:rPr>
        <w:t xml:space="preserve">Language Agent API reference — how any NEAR dApp can use the plain-English toggle</w:t>
      </w:r>
    </w:p>
    <w:p>
      <w:pPr>
        <w:pStyle w:val="ListParagraph"/>
        <w:numPr>
          <w:ilvl w:val="0"/>
          <w:numId w:val="2"/>
        </w:numPr>
        <w:spacing w:before="60" w:after="60"/>
      </w:pPr>
      <w:r>
        <w:rPr>
          <w:rFonts w:ascii="Arial" w:cs="Arial" w:eastAsia="Arial" w:hAnsi="Arial"/>
          <w:color w:val="333333"/>
          <w:sz w:val="22"/>
          <w:szCs w:val="22"/>
        </w:rPr>
        <w:t xml:space="preserve">Trade Safety Agent API reference — pre-trade simulation and contract checking</w:t>
      </w:r>
    </w:p>
    <w:p>
      <w:pPr>
        <w:pStyle w:val="ListParagraph"/>
        <w:numPr>
          <w:ilvl w:val="0"/>
          <w:numId w:val="2"/>
        </w:numPr>
        <w:spacing w:before="60" w:after="60"/>
      </w:pPr>
      <w:r>
        <w:rPr>
          <w:rFonts w:ascii="Arial" w:cs="Arial" w:eastAsia="Arial" w:hAnsi="Arial"/>
          <w:color w:val="333333"/>
          <w:sz w:val="22"/>
          <w:szCs w:val="22"/>
        </w:rPr>
        <w:t xml:space="preserve">On-chain contacts architecture specification</w:t>
      </w:r>
    </w:p>
    <w:p>
      <w:pPr>
        <w:pStyle w:val="ListParagraph"/>
        <w:numPr>
          <w:ilvl w:val="0"/>
          <w:numId w:val="2"/>
        </w:numPr>
        <w:spacing w:before="60" w:after="60"/>
      </w:pPr>
      <w:r>
        <w:rPr>
          <w:rFonts w:ascii="Arial" w:cs="Arial" w:eastAsia="Arial" w:hAnsi="Arial"/>
          <w:color w:val="333333"/>
          <w:sz w:val="22"/>
          <w:szCs w:val="22"/>
        </w:rPr>
        <w:t xml:space="preserve">Contribution guidelines and GitHub links</w:t>
      </w:r>
    </w:p>
    <w:p>
      <w:pPr>
        <w:pStyle w:val="ListParagraph"/>
        <w:numPr>
          <w:ilvl w:val="0"/>
          <w:numId w:val="2"/>
        </w:numPr>
        <w:spacing w:before="60" w:after="60"/>
      </w:pPr>
      <w:r>
        <w:rPr>
          <w:rFonts w:ascii="Arial" w:cs="Arial" w:eastAsia="Arial" w:hAnsi="Arial"/>
          <w:color w:val="333333"/>
          <w:sz w:val="22"/>
          <w:szCs w:val="22"/>
        </w:rPr>
        <w:t xml:space="preserve">Testnet and mainnet deployment guides</w:t>
      </w:r>
    </w:p>
    <w:p>
      <w:pPr>
        <w:spacing w:before="0" w:after="100"/>
      </w:pPr>
      <w:r>
        <w:t xml:space="preserve"/>
      </w:r>
    </w:p>
    <w:p>
      <w:pPr>
        <w:spacing w:before="80" w:after="80"/>
      </w:pPr>
      <w:r>
        <w:rPr>
          <w:rFonts w:ascii="Arial" w:cs="Arial" w:eastAsia="Arial" w:hAnsi="Arial"/>
          <w:color w:val="222222"/>
          <w:sz w:val="22"/>
          <w:szCs w:val="22"/>
        </w:rPr>
        <w:t xml:space="preserve">velcro.dev is the NEAR ecosystem’s entry point to Velcro’s open source infrastructure. It makes the grant’s public goods commitment tangible and accessible.</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velcro-technologies.com — The Consumer Product Site</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60"/>
        <w:gridCol w:w="9200"/>
      </w:tblGrid>
      <w:tr>
        <w:tc>
          <w:tcPr>
            <w:tcW w:type="dxa" w:w="160"/>
            <w:tcBorders>
              <w:top w:val="none" w:color="FFFFFF" w:sz="0"/>
              <w:left w:val="none" w:color="FFFFFF" w:sz="0"/>
              <w:bottom w:val="none" w:color="FFFFFF" w:sz="0"/>
              <w:right w:val="none" w:color="FFFFFF" w:sz="0"/>
            </w:tcBorders>
            <w:shd w:fill="6B4FD8" w:val="clear"/>
          </w:tcPr>
          <w:p>
            <w:r>
              <w:t xml:space="preserve"/>
            </w:r>
          </w:p>
        </w:tc>
        <w:tc>
          <w:tcPr>
            <w:tcW w:type="dxa" w:w="920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pPr>
              <w:spacing w:after="40"/>
            </w:pPr>
            <w:r>
              <w:rPr>
                <w:rFonts w:ascii="Arial" w:cs="Arial" w:eastAsia="Arial" w:hAnsi="Arial"/>
                <w:b/>
                <w:bCs/>
                <w:color w:val="6B4FD8"/>
                <w:sz w:val="20"/>
                <w:szCs w:val="20"/>
              </w:rPr>
              <w:t xml:space="preserve">Purpose</w:t>
            </w:r>
          </w:p>
          <w:p>
            <w:r>
              <w:rPr>
                <w:rFonts w:ascii="Arial" w:cs="Arial" w:eastAsia="Arial" w:hAnsi="Arial"/>
                <w:color w:val="333333"/>
                <w:sz w:val="20"/>
                <w:szCs w:val="20"/>
              </w:rPr>
              <w:t xml:space="preserve">The consumer-facing brand and product destination. This is where mainstream users, press, investors, and partners discover Velcro — sign up for the waitlist, understand the product in plain English, and join the community.</w:t>
            </w:r>
          </w:p>
        </w:tc>
      </w:tr>
    </w:tbl>
    <w:p>
      <w:pPr>
        <w:spacing w:before="0" w:after="100"/>
      </w:pPr>
      <w:r>
        <w:t xml:space="preserve"/>
      </w:r>
    </w:p>
    <w:p>
      <w:pPr>
        <w:pStyle w:val="ListParagraph"/>
        <w:numPr>
          <w:ilvl w:val="0"/>
          <w:numId w:val="2"/>
        </w:numPr>
        <w:spacing w:before="60" w:after="60"/>
      </w:pPr>
      <w:r>
        <w:rPr>
          <w:rFonts w:ascii="Arial" w:cs="Arial" w:eastAsia="Arial" w:hAnsi="Arial"/>
          <w:color w:val="333333"/>
          <w:sz w:val="22"/>
          <w:szCs w:val="22"/>
        </w:rPr>
        <w:t xml:space="preserve">Product landing page with the Hook. Loop. Hold. brand</w:t>
      </w:r>
    </w:p>
    <w:p>
      <w:pPr>
        <w:pStyle w:val="ListParagraph"/>
        <w:numPr>
          <w:ilvl w:val="0"/>
          <w:numId w:val="2"/>
        </w:numPr>
        <w:spacing w:before="60" w:after="60"/>
      </w:pPr>
      <w:r>
        <w:rPr>
          <w:rFonts w:ascii="Arial" w:cs="Arial" w:eastAsia="Arial" w:hAnsi="Arial"/>
          <w:color w:val="333333"/>
          <w:sz w:val="22"/>
          <w:szCs w:val="22"/>
        </w:rPr>
        <w:t xml:space="preserve">Waitlist signup — early access before mainnet launch</w:t>
      </w:r>
    </w:p>
    <w:p>
      <w:pPr>
        <w:pStyle w:val="ListParagraph"/>
        <w:numPr>
          <w:ilvl w:val="0"/>
          <w:numId w:val="2"/>
        </w:numPr>
        <w:spacing w:before="60" w:after="60"/>
      </w:pPr>
      <w:r>
        <w:rPr>
          <w:rFonts w:ascii="Arial" w:cs="Arial" w:eastAsia="Arial" w:hAnsi="Arial"/>
          <w:color w:val="333333"/>
          <w:sz w:val="22"/>
          <w:szCs w:val="22"/>
        </w:rPr>
        <w:t xml:space="preserve">Plain-English explainer of what Velcro does and why it is different</w:t>
      </w:r>
    </w:p>
    <w:p>
      <w:pPr>
        <w:pStyle w:val="ListParagraph"/>
        <w:numPr>
          <w:ilvl w:val="0"/>
          <w:numId w:val="2"/>
        </w:numPr>
        <w:spacing w:before="60" w:after="60"/>
      </w:pPr>
      <w:r>
        <w:rPr>
          <w:rFonts w:ascii="Arial" w:cs="Arial" w:eastAsia="Arial" w:hAnsi="Arial"/>
          <w:color w:val="333333"/>
          <w:sz w:val="22"/>
          <w:szCs w:val="22"/>
        </w:rPr>
        <w:t xml:space="preserve">The Founding Thesis — published as a public document</w:t>
      </w:r>
    </w:p>
    <w:p>
      <w:pPr>
        <w:pStyle w:val="ListParagraph"/>
        <w:numPr>
          <w:ilvl w:val="0"/>
          <w:numId w:val="2"/>
        </w:numPr>
        <w:spacing w:before="60" w:after="60"/>
      </w:pPr>
      <w:r>
        <w:rPr>
          <w:rFonts w:ascii="Arial" w:cs="Arial" w:eastAsia="Arial" w:hAnsi="Arial"/>
          <w:color w:val="333333"/>
          <w:sz w:val="22"/>
          <w:szCs w:val="22"/>
        </w:rPr>
        <w:t xml:space="preserve">Press and media kit</w:t>
      </w:r>
    </w:p>
    <w:p>
      <w:pPr>
        <w:pStyle w:val="ListParagraph"/>
        <w:numPr>
          <w:ilvl w:val="0"/>
          <w:numId w:val="2"/>
        </w:numPr>
        <w:spacing w:before="60" w:after="60"/>
      </w:pPr>
      <w:r>
        <w:rPr>
          <w:rFonts w:ascii="Arial" w:cs="Arial" w:eastAsia="Arial" w:hAnsi="Arial"/>
          <w:color w:val="333333"/>
          <w:sz w:val="22"/>
          <w:szCs w:val="22"/>
        </w:rPr>
        <w:t xml:space="preserve">Transparency page — how the spread works, what we charge, why</w:t>
      </w:r>
    </w:p>
    <w:p>
      <w:pPr>
        <w:pStyle w:val="ListParagraph"/>
        <w:numPr>
          <w:ilvl w:val="0"/>
          <w:numId w:val="2"/>
        </w:numPr>
        <w:spacing w:before="60" w:after="60"/>
      </w:pPr>
      <w:r>
        <w:rPr>
          <w:rFonts w:ascii="Arial" w:cs="Arial" w:eastAsia="Arial" w:hAnsi="Arial"/>
          <w:color w:val="333333"/>
          <w:sz w:val="22"/>
          <w:szCs w:val="22"/>
        </w:rPr>
        <w:t xml:space="preserve">Blog — Lara’s writing on digital divide, Web3 civil rights, financial inclusion</w:t>
      </w:r>
    </w:p>
    <w:p>
      <w:pPr>
        <w:spacing w:before="0" w:after="100"/>
      </w:pPr>
      <w:r>
        <w:t xml:space="preserve"/>
      </w:r>
    </w:p>
    <w:p>
      <w:pPr>
        <w:spacing w:before="80" w:after="80"/>
      </w:pPr>
      <w:r>
        <w:rPr>
          <w:rFonts w:ascii="Arial" w:cs="Arial" w:eastAsia="Arial" w:hAnsi="Arial"/>
          <w:color w:val="222222"/>
          <w:sz w:val="22"/>
          <w:szCs w:val="22"/>
        </w:rPr>
        <w:t xml:space="preserve">velcro-technologies.com is the product’s public face. It speaks in plain English. It never uses the word “gas.” It is the Everyday mode version of everything Velcro is.</w:t>
      </w:r>
    </w:p>
    <w:p>
      <w:pPr>
        <w:spacing w:before="0" w:after="100"/>
      </w:pPr>
      <w:r>
        <w:t xml:space="preserve"/>
      </w:r>
    </w:p>
    <w:p>
      <w:pPr>
        <w:pBdr>
          <w:bottom w:val="single" w:color="9B7FE8" w:sz="2" w:space="1"/>
        </w:pBdr>
        <w:spacing w:before="200" w:after="200"/>
      </w:pPr>
      <w:r>
        <w:t xml:space="preserve"/>
      </w:r>
    </w:p>
    <w:p>
      <w:r>
        <w:br w:type="page"/>
      </w:r>
    </w:p>
    <w:p>
      <w:pPr>
        <w:pStyle w:val="Heading1"/>
        <w:pBdr>
          <w:bottom w:val="single" w:color="4B2FB8" w:sz="6" w:space="4"/>
        </w:pBdr>
        <w:spacing w:before="400" w:after="180"/>
      </w:pPr>
      <w:r>
        <w:rPr>
          <w:rFonts w:ascii="Arial" w:cs="Arial" w:eastAsia="Arial" w:hAnsi="Arial"/>
          <w:b/>
          <w:bCs/>
          <w:color w:val="2D1A8A"/>
          <w:sz w:val="30"/>
          <w:szCs w:val="30"/>
        </w:rPr>
        <w:t xml:space="preserve">Section 5 — Technical Architecture</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Core Design Principles</w:t>
      </w:r>
    </w:p>
    <w:p>
      <w:pPr>
        <w:pStyle w:val="ListParagraph"/>
        <w:numPr>
          <w:ilvl w:val="0"/>
          <w:numId w:val="2"/>
        </w:numPr>
        <w:spacing w:before="60" w:after="60"/>
      </w:pPr>
      <w:r>
        <w:rPr>
          <w:rFonts w:ascii="Arial" w:cs="Arial" w:eastAsia="Arial" w:hAnsi="Arial"/>
          <w:b/>
          <w:bCs/>
          <w:color w:val="4B2FB8"/>
          <w:sz w:val="22"/>
          <w:szCs w:val="22"/>
        </w:rPr>
        <w:t xml:space="preserve">Keys never leave the user’s device. No server holds funds. This is a technical fact, not a policy. </w:t>
      </w:r>
      <w:r>
        <w:rPr>
          <w:rFonts w:ascii="Arial" w:cs="Arial" w:eastAsia="Arial" w:hAnsi="Arial"/>
          <w:color w:val="333333"/>
          <w:sz w:val="22"/>
          <w:szCs w:val="22"/>
        </w:rPr>
        <w:t xml:space="preserve">Non-custodial by architecture</w:t>
      </w:r>
    </w:p>
    <w:p>
      <w:pPr>
        <w:pStyle w:val="ListParagraph"/>
        <w:numPr>
          <w:ilvl w:val="0"/>
          <w:numId w:val="2"/>
        </w:numPr>
        <w:spacing w:before="60" w:after="60"/>
      </w:pPr>
      <w:r>
        <w:rPr>
          <w:rFonts w:ascii="Arial" w:cs="Arial" w:eastAsia="Arial" w:hAnsi="Arial"/>
          <w:b/>
          <w:bCs/>
          <w:color w:val="4B2FB8"/>
          <w:sz w:val="22"/>
          <w:szCs w:val="22"/>
        </w:rPr>
        <w:t xml:space="preserve">Solana fees absorbed by platform. EVM fees via ERC-4337 paymaster on Layer 2. NEAR Intents gas handled by solver network. </w:t>
      </w:r>
      <w:r>
        <w:rPr>
          <w:rFonts w:ascii="Arial" w:cs="Arial" w:eastAsia="Arial" w:hAnsi="Arial"/>
          <w:color w:val="333333"/>
          <w:sz w:val="22"/>
          <w:szCs w:val="22"/>
        </w:rPr>
        <w:t xml:space="preserve">No gas fees to users</w:t>
      </w:r>
    </w:p>
    <w:p>
      <w:pPr>
        <w:pStyle w:val="ListParagraph"/>
        <w:numPr>
          <w:ilvl w:val="0"/>
          <w:numId w:val="2"/>
        </w:numPr>
        <w:spacing w:before="60" w:after="60"/>
      </w:pPr>
      <w:r>
        <w:rPr>
          <w:rFonts w:ascii="Arial" w:cs="Arial" w:eastAsia="Arial" w:hAnsi="Arial"/>
          <w:b/>
          <w:bCs/>
          <w:color w:val="4B2FB8"/>
          <w:sz w:val="22"/>
          <w:szCs w:val="22"/>
        </w:rPr>
        <w:t xml:space="preserve">Contacts layer lives on-chain — portable, user-owned, not platform-locked. </w:t>
      </w:r>
      <w:r>
        <w:rPr>
          <w:rFonts w:ascii="Arial" w:cs="Arial" w:eastAsia="Arial" w:hAnsi="Arial"/>
          <w:color w:val="333333"/>
          <w:sz w:val="22"/>
          <w:szCs w:val="22"/>
        </w:rPr>
        <w:t xml:space="preserve">On-chain public contacts</w:t>
      </w:r>
    </w:p>
    <w:p>
      <w:pPr>
        <w:pStyle w:val="ListParagraph"/>
        <w:numPr>
          <w:ilvl w:val="0"/>
          <w:numId w:val="2"/>
        </w:numPr>
        <w:spacing w:before="60" w:after="60"/>
      </w:pPr>
      <w:r>
        <w:rPr>
          <w:rFonts w:ascii="Arial" w:cs="Arial" w:eastAsia="Arial" w:hAnsi="Arial"/>
          <w:b/>
          <w:bCs/>
          <w:color w:val="4B2FB8"/>
          <w:sz w:val="22"/>
          <w:szCs w:val="22"/>
        </w:rPr>
        <w:t xml:space="preserve">The signing step is always and exclusively human-initiated. </w:t>
      </w:r>
      <w:r>
        <w:rPr>
          <w:rFonts w:ascii="Arial" w:cs="Arial" w:eastAsia="Arial" w:hAnsi="Arial"/>
          <w:color w:val="333333"/>
          <w:sz w:val="22"/>
          <w:szCs w:val="22"/>
        </w:rPr>
        <w:t xml:space="preserve">Agents analyze. Users decide. Wallets execute.</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The Six-Agent AI Coordination Stack</w:t>
      </w:r>
    </w:p>
    <w:p>
      <w:pPr>
        <w:spacing w:before="80" w:after="80"/>
      </w:pPr>
      <w:r>
        <w:rPr>
          <w:rFonts w:ascii="Arial" w:cs="Arial" w:eastAsia="Arial" w:hAnsi="Arial"/>
          <w:color w:val="222222"/>
          <w:sz w:val="22"/>
          <w:szCs w:val="22"/>
        </w:rPr>
        <w:t xml:space="preserve">Supervisor architecture: a master Orchestrator delegates to five specialist sub-agents and aggregates outputs before anything reaches the user or chain.</w:t>
      </w:r>
    </w:p>
    <w:p>
      <w:pPr>
        <w:spacing w:before="0" w:after="100"/>
      </w:pPr>
      <w:r>
        <w:t xml:space="preserve"/>
      </w:r>
    </w:p>
    <w:p>
      <w:pPr>
        <w:pStyle w:val="Heading3"/>
        <w:spacing w:before="200" w:after="80"/>
      </w:pPr>
      <w:r>
        <w:rPr>
          <w:rFonts w:ascii="Arial" w:cs="Arial" w:eastAsia="Arial" w:hAnsi="Arial"/>
          <w:b/>
          <w:bCs/>
          <w:color w:val="6B4FD8"/>
          <w:sz w:val="22"/>
          <w:szCs w:val="22"/>
        </w:rPr>
        <w:t xml:space="preserve">Agent 1 — Market Intelligence Agent</w:t>
      </w:r>
    </w:p>
    <w:p>
      <w:pPr>
        <w:pStyle w:val="ListParagraph"/>
        <w:numPr>
          <w:ilvl w:val="0"/>
          <w:numId w:val="2"/>
        </w:numPr>
        <w:spacing w:before="60" w:after="60"/>
      </w:pPr>
      <w:r>
        <w:rPr>
          <w:rFonts w:ascii="Arial" w:cs="Arial" w:eastAsia="Arial" w:hAnsi="Arial"/>
          <w:color w:val="333333"/>
          <w:sz w:val="22"/>
          <w:szCs w:val="22"/>
        </w:rPr>
        <w:t xml:space="preserve">Tracks price, volume, liquidity depth, and volatility for held and watched assets</w:t>
      </w:r>
    </w:p>
    <w:p>
      <w:pPr>
        <w:pStyle w:val="ListParagraph"/>
        <w:numPr>
          <w:ilvl w:val="0"/>
          <w:numId w:val="2"/>
        </w:numPr>
        <w:spacing w:before="60" w:after="60"/>
      </w:pPr>
      <w:r>
        <w:rPr>
          <w:rFonts w:ascii="Arial" w:cs="Arial" w:eastAsia="Arial" w:hAnsi="Arial"/>
          <w:color w:val="333333"/>
          <w:sz w:val="22"/>
          <w:szCs w:val="22"/>
        </w:rPr>
        <w:t xml:space="preserve">Monitors whale wallet movements on Solana (Helius webhooks) and EVM (Alchemy)</w:t>
      </w:r>
    </w:p>
    <w:p>
      <w:pPr>
        <w:pStyle w:val="ListParagraph"/>
        <w:numPr>
          <w:ilvl w:val="0"/>
          <w:numId w:val="2"/>
        </w:numPr>
        <w:spacing w:before="60" w:after="60"/>
      </w:pPr>
      <w:r>
        <w:rPr>
          <w:rFonts w:ascii="Arial" w:cs="Arial" w:eastAsia="Arial" w:hAnsi="Arial"/>
          <w:color w:val="333333"/>
          <w:sz w:val="22"/>
          <w:szCs w:val="22"/>
        </w:rPr>
        <w:t xml:space="preserve">Tracks funding rates as overcrowding signals. Produces plain-language daily brief.</w:t>
      </w:r>
    </w:p>
    <w:p>
      <w:pPr>
        <w:spacing w:before="0" w:after="100"/>
      </w:pPr>
      <w:r>
        <w:t xml:space="preserve"/>
      </w:r>
    </w:p>
    <w:p>
      <w:pPr>
        <w:pStyle w:val="Heading3"/>
        <w:spacing w:before="200" w:after="80"/>
      </w:pPr>
      <w:r>
        <w:rPr>
          <w:rFonts w:ascii="Arial" w:cs="Arial" w:eastAsia="Arial" w:hAnsi="Arial"/>
          <w:b/>
          <w:bCs/>
          <w:color w:val="6B4FD8"/>
          <w:sz w:val="22"/>
          <w:szCs w:val="22"/>
        </w:rPr>
        <w:t xml:space="preserve">Agent 2 — Trade Safety Agent (fires on every transaction — non-skippable)</w:t>
      </w:r>
    </w:p>
    <w:p>
      <w:pPr>
        <w:pStyle w:val="ListParagraph"/>
        <w:numPr>
          <w:ilvl w:val="0"/>
          <w:numId w:val="2"/>
        </w:numPr>
        <w:spacing w:before="60" w:after="60"/>
      </w:pPr>
      <w:r>
        <w:rPr>
          <w:rFonts w:ascii="Arial" w:cs="Arial" w:eastAsia="Arial" w:hAnsi="Arial"/>
          <w:color w:val="333333"/>
          <w:sz w:val="22"/>
          <w:szCs w:val="22"/>
        </w:rPr>
        <w:t xml:space="preserve">Simulates transaction via Tenderly (EVM) and simulateTransaction (Solana) before signing</w:t>
      </w:r>
    </w:p>
    <w:p>
      <w:pPr>
        <w:pStyle w:val="ListParagraph"/>
        <w:numPr>
          <w:ilvl w:val="0"/>
          <w:numId w:val="2"/>
        </w:numPr>
        <w:spacing w:before="60" w:after="60"/>
      </w:pPr>
      <w:r>
        <w:rPr>
          <w:rFonts w:ascii="Arial" w:cs="Arial" w:eastAsia="Arial" w:hAnsi="Arial"/>
          <w:color w:val="333333"/>
          <w:sz w:val="22"/>
          <w:szCs w:val="22"/>
        </w:rPr>
        <w:t xml:space="preserve">Checks contract audit history via Forta, GoPlus, De.Fi. Detects honeypot tokens.</w:t>
      </w:r>
    </w:p>
    <w:p>
      <w:pPr>
        <w:pStyle w:val="ListParagraph"/>
        <w:numPr>
          <w:ilvl w:val="0"/>
          <w:numId w:val="2"/>
        </w:numPr>
        <w:spacing w:before="60" w:after="60"/>
      </w:pPr>
      <w:r>
        <w:rPr>
          <w:rFonts w:ascii="Arial" w:cs="Arial" w:eastAsia="Arial" w:hAnsi="Arial"/>
          <w:color w:val="333333"/>
          <w:sz w:val="22"/>
          <w:szCs w:val="22"/>
        </w:rPr>
        <w:t xml:space="preserve">Produces three-line plain English verdict before every trade</w:t>
      </w:r>
    </w:p>
    <w:p>
      <w:pPr>
        <w:spacing w:before="0" w:after="100"/>
      </w:pPr>
      <w:r>
        <w:t xml:space="preserve"/>
      </w:r>
    </w:p>
    <w:p>
      <w:pPr>
        <w:pStyle w:val="Heading3"/>
        <w:spacing w:before="200" w:after="80"/>
      </w:pPr>
      <w:r>
        <w:rPr>
          <w:rFonts w:ascii="Arial" w:cs="Arial" w:eastAsia="Arial" w:hAnsi="Arial"/>
          <w:b/>
          <w:bCs/>
          <w:color w:val="6B4FD8"/>
          <w:sz w:val="22"/>
          <w:szCs w:val="22"/>
        </w:rPr>
        <w:t xml:space="preserve">Agent 3 — Counterparty Intelligence Agent</w:t>
      </w:r>
    </w:p>
    <w:p>
      <w:pPr>
        <w:pStyle w:val="ListParagraph"/>
        <w:numPr>
          <w:ilvl w:val="0"/>
          <w:numId w:val="2"/>
        </w:numPr>
        <w:spacing w:before="60" w:after="60"/>
      </w:pPr>
      <w:r>
        <w:rPr>
          <w:rFonts w:ascii="Arial" w:cs="Arial" w:eastAsia="Arial" w:hAnsi="Arial"/>
          <w:color w:val="333333"/>
          <w:sz w:val="22"/>
          <w:szCs w:val="22"/>
        </w:rPr>
        <w:t xml:space="preserve">Builds on-chain trust profile for every P2P counterparty from public chain data</w:t>
      </w:r>
    </w:p>
    <w:p>
      <w:pPr>
        <w:pStyle w:val="ListParagraph"/>
        <w:numPr>
          <w:ilvl w:val="0"/>
          <w:numId w:val="2"/>
        </w:numPr>
        <w:spacing w:before="60" w:after="60"/>
      </w:pPr>
      <w:r>
        <w:rPr>
          <w:rFonts w:ascii="Arial" w:cs="Arial" w:eastAsia="Arial" w:hAnsi="Arial"/>
          <w:color w:val="333333"/>
          <w:sz w:val="22"/>
          <w:szCs w:val="22"/>
        </w:rPr>
        <w:t xml:space="preserve">Checks against Chainalysis / TRM Labs for sanctions and scam history</w:t>
      </w:r>
    </w:p>
    <w:p>
      <w:pPr>
        <w:spacing w:before="0" w:after="100"/>
      </w:pPr>
      <w:r>
        <w:t xml:space="preserve"/>
      </w:r>
    </w:p>
    <w:p>
      <w:pPr>
        <w:pStyle w:val="Heading3"/>
        <w:spacing w:before="200" w:after="80"/>
      </w:pPr>
      <w:r>
        <w:rPr>
          <w:rFonts w:ascii="Arial" w:cs="Arial" w:eastAsia="Arial" w:hAnsi="Arial"/>
          <w:b/>
          <w:bCs/>
          <w:color w:val="6B4FD8"/>
          <w:sz w:val="22"/>
          <w:szCs w:val="22"/>
        </w:rPr>
        <w:t xml:space="preserve">Agent 4 — Portfolio Intelligence Agent</w:t>
      </w:r>
    </w:p>
    <w:p>
      <w:pPr>
        <w:pStyle w:val="ListParagraph"/>
        <w:numPr>
          <w:ilvl w:val="0"/>
          <w:numId w:val="2"/>
        </w:numPr>
        <w:spacing w:before="60" w:after="60"/>
      </w:pPr>
      <w:r>
        <w:rPr>
          <w:rFonts w:ascii="Arial" w:cs="Arial" w:eastAsia="Arial" w:hAnsi="Arial"/>
          <w:color w:val="333333"/>
          <w:sz w:val="22"/>
          <w:szCs w:val="22"/>
        </w:rPr>
        <w:t xml:space="preserve">Tracks concentration risk, unrealized P&amp;L, and user’s own behavioral patterns</w:t>
      </w:r>
    </w:p>
    <w:p>
      <w:pPr>
        <w:pStyle w:val="ListParagraph"/>
        <w:numPr>
          <w:ilvl w:val="0"/>
          <w:numId w:val="2"/>
        </w:numPr>
        <w:spacing w:before="60" w:after="60"/>
      </w:pPr>
      <w:r>
        <w:rPr>
          <w:rFonts w:ascii="Arial" w:cs="Arial" w:eastAsia="Arial" w:hAnsi="Arial"/>
          <w:color w:val="333333"/>
          <w:sz w:val="22"/>
          <w:szCs w:val="22"/>
        </w:rPr>
        <w:t xml:space="preserve">Monitors yield on idle stablecoins. Exit scenario modeling.</w:t>
      </w:r>
    </w:p>
    <w:p>
      <w:pPr>
        <w:spacing w:before="0" w:after="100"/>
      </w:pPr>
      <w:r>
        <w:t xml:space="preserve"/>
      </w:r>
    </w:p>
    <w:p>
      <w:pPr>
        <w:pStyle w:val="Heading3"/>
        <w:spacing w:before="200" w:after="80"/>
      </w:pPr>
      <w:r>
        <w:rPr>
          <w:rFonts w:ascii="Arial" w:cs="Arial" w:eastAsia="Arial" w:hAnsi="Arial"/>
          <w:b/>
          <w:bCs/>
          <w:color w:val="6B4FD8"/>
          <w:sz w:val="22"/>
          <w:szCs w:val="22"/>
        </w:rPr>
        <w:t xml:space="preserve">Agent 5 — Language Agent</w:t>
      </w:r>
    </w:p>
    <w:p>
      <w:pPr>
        <w:pStyle w:val="ListParagraph"/>
        <w:numPr>
          <w:ilvl w:val="0"/>
          <w:numId w:val="2"/>
        </w:numPr>
        <w:spacing w:before="60" w:after="60"/>
      </w:pPr>
      <w:r>
        <w:rPr>
          <w:rFonts w:ascii="Arial" w:cs="Arial" w:eastAsia="Arial" w:hAnsi="Arial"/>
          <w:color w:val="333333"/>
          <w:sz w:val="22"/>
          <w:szCs w:val="22"/>
        </w:rPr>
        <w:t xml:space="preserve">Renders all agent output in Everyday (plain English), Informed, or Pro (technical) mode</w:t>
      </w:r>
    </w:p>
    <w:p>
      <w:pPr>
        <w:pStyle w:val="ListParagraph"/>
        <w:numPr>
          <w:ilvl w:val="0"/>
          <w:numId w:val="2"/>
        </w:numPr>
        <w:spacing w:before="60" w:after="60"/>
      </w:pPr>
      <w:r>
        <w:rPr>
          <w:rFonts w:ascii="Arial" w:cs="Arial" w:eastAsia="Arial" w:hAnsi="Arial"/>
          <w:color w:val="333333"/>
          <w:sz w:val="22"/>
          <w:szCs w:val="22"/>
        </w:rPr>
        <w:t xml:space="preserve">One tap switches everything. Multilingual V2: Arabic, Spanish, Tagalog, Dari.</w:t>
      </w:r>
    </w:p>
    <w:p>
      <w:pPr>
        <w:spacing w:before="0" w:after="100"/>
      </w:pPr>
      <w:r>
        <w:t xml:space="preserve"/>
      </w:r>
    </w:p>
    <w:p>
      <w:pPr>
        <w:pStyle w:val="Heading3"/>
        <w:spacing w:before="200" w:after="80"/>
      </w:pPr>
      <w:r>
        <w:rPr>
          <w:rFonts w:ascii="Arial" w:cs="Arial" w:eastAsia="Arial" w:hAnsi="Arial"/>
          <w:b/>
          <w:bCs/>
          <w:color w:val="6B4FD8"/>
          <w:sz w:val="22"/>
          <w:szCs w:val="22"/>
        </w:rPr>
        <w:t xml:space="preserve">Agent 6 — Orchestrator</w:t>
      </w:r>
    </w:p>
    <w:p>
      <w:pPr>
        <w:pStyle w:val="ListParagraph"/>
        <w:numPr>
          <w:ilvl w:val="0"/>
          <w:numId w:val="2"/>
        </w:numPr>
        <w:spacing w:before="60" w:after="60"/>
      </w:pPr>
      <w:r>
        <w:rPr>
          <w:rFonts w:ascii="Arial" w:cs="Arial" w:eastAsia="Arial" w:hAnsi="Arial"/>
          <w:color w:val="333333"/>
          <w:sz w:val="22"/>
          <w:szCs w:val="22"/>
        </w:rPr>
        <w:t xml:space="preserve">Manages conflicts, prioritises alerts, applies relevance filter</w:t>
      </w:r>
    </w:p>
    <w:p>
      <w:pPr>
        <w:pStyle w:val="ListParagraph"/>
        <w:numPr>
          <w:ilvl w:val="0"/>
          <w:numId w:val="2"/>
        </w:numPr>
        <w:spacing w:before="60" w:after="60"/>
      </w:pPr>
      <w:r>
        <w:rPr>
          <w:rFonts w:ascii="Arial" w:cs="Arial" w:eastAsia="Arial" w:hAnsi="Arial"/>
          <w:color w:val="333333"/>
          <w:sz w:val="22"/>
          <w:szCs w:val="22"/>
        </w:rPr>
        <w:t xml:space="preserve">Manages human-in-the-loop checkpoints. Logs every handoff for audit trail.</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NEAR Integration Points</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800"/>
        <w:gridCol w:w="6560"/>
      </w:tblGrid>
      <w:tr>
        <w:tc>
          <w:tcPr>
            <w:tcW w:type="dxa" w:w="2800"/>
            <w:tcBorders>
              <w:top w:val="none" w:color="FFFFFF" w:sz="0"/>
              <w:left w:val="none" w:color="FFFFFF" w:sz="0"/>
              <w:bottom w:val="none" w:color="FFFFFF" w:sz="0"/>
              <w:right w:val="none" w:color="FFFFFF" w:sz="0"/>
            </w:tcBorders>
            <w:shd w:fill="2D1A8A"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NEAR Technology</w:t>
            </w:r>
          </w:p>
        </w:tc>
        <w:tc>
          <w:tcPr>
            <w:tcW w:type="dxa" w:w="6560"/>
            <w:tcBorders>
              <w:top w:val="none" w:color="FFFFFF" w:sz="0"/>
              <w:left w:val="none" w:color="FFFFFF" w:sz="0"/>
              <w:bottom w:val="none" w:color="FFFFFF" w:sz="0"/>
              <w:right w:val="none" w:color="FFFFFF" w:sz="0"/>
            </w:tcBorders>
            <w:shd w:fill="2D1A8A"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Velcro Integration</w:t>
            </w:r>
          </w:p>
        </w:tc>
      </w:tr>
      <w:tr>
        <w:tc>
          <w:tcPr>
            <w:tcW w:type="dxa" w:w="2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color w:val="333333"/>
                <w:sz w:val="20"/>
                <w:szCs w:val="20"/>
              </w:rPr>
              <w:t xml:space="preserve">NEAR Intents</w:t>
            </w:r>
          </w:p>
        </w:tc>
        <w:tc>
          <w:tcPr>
            <w:tcW w:type="dxa" w:w="65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color w:val="333333"/>
                <w:sz w:val="20"/>
                <w:szCs w:val="20"/>
              </w:rPr>
              <w:t xml:space="preserve">Cross-chain execution layer. Users state outcome, solver network executes. No bridging, no wrapping, no manual routing.</w:t>
            </w:r>
          </w:p>
        </w:tc>
      </w:tr>
      <w:tr>
        <w:tc>
          <w:tcPr>
            <w:tcW w:type="dxa" w:w="2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color w:val="333333"/>
                <w:sz w:val="20"/>
                <w:szCs w:val="20"/>
              </w:rPr>
              <w:t xml:space="preserve">Chain Signatures</w:t>
            </w:r>
          </w:p>
        </w:tc>
        <w:tc>
          <w:tcPr>
            <w:tcW w:type="dxa" w:w="65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color w:val="333333"/>
                <w:sz w:val="20"/>
                <w:szCs w:val="20"/>
              </w:rPr>
              <w:t xml:space="preserve">Single NEAR identity signs transactions on Solana, EVM, and NEAR simultaneously. Enables multi-chain agent actions without centralised custodian.</w:t>
            </w:r>
          </w:p>
        </w:tc>
      </w:tr>
      <w:tr>
        <w:tc>
          <w:tcPr>
            <w:tcW w:type="dxa" w:w="2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color w:val="333333"/>
                <w:sz w:val="20"/>
                <w:szCs w:val="20"/>
              </w:rPr>
              <w:t xml:space="preserve">User-Owned AI</w:t>
            </w:r>
          </w:p>
        </w:tc>
        <w:tc>
          <w:tcPr>
            <w:tcW w:type="dxa" w:w="65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color w:val="333333"/>
                <w:sz w:val="20"/>
                <w:szCs w:val="20"/>
              </w:rPr>
              <w:t xml:space="preserve">Agent coordination stack architecture. Every agent serves the user. No extraction. No platform benefit routing.</w:t>
            </w:r>
          </w:p>
        </w:tc>
      </w:tr>
      <w:tr>
        <w:tc>
          <w:tcPr>
            <w:tcW w:type="dxa" w:w="2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color w:val="333333"/>
                <w:sz w:val="20"/>
                <w:szCs w:val="20"/>
              </w:rPr>
              <w:t xml:space="preserve">DevHub</w:t>
            </w:r>
          </w:p>
        </w:tc>
        <w:tc>
          <w:tcPr>
            <w:tcW w:type="dxa" w:w="65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color w:val="333333"/>
                <w:sz w:val="20"/>
                <w:szCs w:val="20"/>
              </w:rPr>
              <w:t xml:space="preserve">Open source SDK publication and community grant submission channel.</w:t>
            </w:r>
          </w:p>
        </w:tc>
      </w:tr>
      <w:tr>
        <w:tc>
          <w:tcPr>
            <w:tcW w:type="dxa" w:w="2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color w:val="333333"/>
                <w:sz w:val="20"/>
                <w:szCs w:val="20"/>
              </w:rPr>
              <w:t xml:space="preserve">On-chain Governance</w:t>
            </w:r>
          </w:p>
        </w:tc>
        <w:tc>
          <w:tcPr>
            <w:tcW w:type="dxa" w:w="65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color w:val="333333"/>
                <w:sz w:val="20"/>
                <w:szCs w:val="20"/>
              </w:rPr>
              <w:t xml:space="preserve">Velcro’s community governance model inspired by NEAR’s NNS — token holders vote on protocol direction.</w:t>
            </w:r>
          </w:p>
        </w:tc>
      </w:tr>
    </w:tbl>
    <w:p>
      <w:pPr>
        <w:spacing w:before="0" w:after="100"/>
      </w:pPr>
      <w:r>
        <w:t xml:space="preserve"/>
      </w:r>
    </w:p>
    <w:p>
      <w:pPr>
        <w:pBdr>
          <w:bottom w:val="single" w:color="9B7FE8" w:sz="2" w:space="1"/>
        </w:pBdr>
        <w:spacing w:before="200" w:after="200"/>
      </w:pPr>
      <w:r>
        <w:t xml:space="preserve"/>
      </w:r>
    </w:p>
    <w:p>
      <w:r>
        <w:br w:type="page"/>
      </w:r>
    </w:p>
    <w:p>
      <w:pPr>
        <w:pStyle w:val="Heading1"/>
        <w:pBdr>
          <w:bottom w:val="single" w:color="4B2FB8" w:sz="6" w:space="4"/>
        </w:pBdr>
        <w:spacing w:before="400" w:after="180"/>
      </w:pPr>
      <w:r>
        <w:rPr>
          <w:rFonts w:ascii="Arial" w:cs="Arial" w:eastAsia="Arial" w:hAnsi="Arial"/>
          <w:b/>
          <w:bCs/>
          <w:color w:val="2D1A8A"/>
          <w:sz w:val="30"/>
          <w:szCs w:val="30"/>
        </w:rPr>
        <w:t xml:space="preserve">Section 6 — Milestones &amp; Budget</w:t>
      </w:r>
    </w:p>
    <w:p>
      <w:pPr>
        <w:spacing w:before="0" w:after="10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60"/>
        <w:gridCol w:w="9200"/>
      </w:tblGrid>
      <w:tr>
        <w:tc>
          <w:tcPr>
            <w:tcW w:type="dxa" w:w="160"/>
            <w:tcBorders>
              <w:top w:val="none" w:color="FFFFFF" w:sz="0"/>
              <w:left w:val="none" w:color="FFFFFF" w:sz="0"/>
              <w:bottom w:val="none" w:color="FFFFFF" w:sz="0"/>
              <w:right w:val="none" w:color="FFFFFF" w:sz="0"/>
            </w:tcBorders>
            <w:shd w:fill="4B2FB8" w:val="clear"/>
          </w:tcPr>
          <w:p>
            <w:r>
              <w:t xml:space="preserve"/>
            </w:r>
          </w:p>
        </w:tc>
        <w:tc>
          <w:tcPr>
            <w:tcW w:type="dxa" w:w="920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pPr>
              <w:spacing w:after="40"/>
            </w:pPr>
            <w:r>
              <w:rPr>
                <w:rFonts w:ascii="Arial" w:cs="Arial" w:eastAsia="Arial" w:hAnsi="Arial"/>
                <w:b/>
                <w:bCs/>
                <w:color w:val="4B2FB8"/>
                <w:sz w:val="20"/>
                <w:szCs w:val="20"/>
              </w:rPr>
              <w:t xml:space="preserve">Grant Total: $150,000 USD</w:t>
            </w:r>
          </w:p>
          <w:p>
            <w:r>
              <w:rPr>
                <w:rFonts w:ascii="Arial" w:cs="Arial" w:eastAsia="Arial" w:hAnsi="Arial"/>
                <w:color w:val="333333"/>
                <w:sz w:val="20"/>
                <w:szCs w:val="20"/>
              </w:rPr>
              <w:t xml:space="preserve">Structured across four milestones with verifiable deliverables. Funds released upon milestone completion and NEAR Foundation review.</w:t>
            </w:r>
          </w:p>
        </w:tc>
      </w:tr>
    </w:tbl>
    <w:p>
      <w:pPr>
        <w:spacing w:before="0" w:after="10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800"/>
        <w:gridCol w:w="2600"/>
        <w:gridCol w:w="4560"/>
        <w:gridCol w:w="1400"/>
      </w:tblGrid>
      <w:tr>
        <w:tc>
          <w:tcPr>
            <w:tcW w:type="dxa" w:w="800"/>
            <w:tcBorders>
              <w:top w:val="none" w:color="FFFFFF" w:sz="0"/>
              <w:left w:val="none" w:color="FFFFFF" w:sz="0"/>
              <w:bottom w:val="none" w:color="FFFFFF" w:sz="0"/>
              <w:right w:val="none" w:color="FFFFFF" w:sz="0"/>
            </w:tcBorders>
            <w:shd w:fill="2D1A8A" w:val="clear"/>
            <w:tcMar>
              <w:top w:type="dxa" w:w="80"/>
              <w:left w:type="dxa" w:w="80"/>
              <w:bottom w:type="dxa" w:w="80"/>
              <w:right w:type="dxa" w:w="80"/>
            </w:tcMar>
          </w:tcPr>
          <w:p>
            <w:pPr>
              <w:jc w:val="center"/>
            </w:pPr>
            <w:r>
              <w:rPr>
                <w:rFonts w:ascii="Arial" w:cs="Arial" w:eastAsia="Arial" w:hAnsi="Arial"/>
                <w:b/>
                <w:bCs/>
                <w:color w:val="FFFFFF"/>
                <w:sz w:val="20"/>
                <w:szCs w:val="20"/>
              </w:rPr>
              <w:t xml:space="preserve">#</w:t>
            </w:r>
          </w:p>
        </w:tc>
        <w:tc>
          <w:tcPr>
            <w:tcW w:type="dxa" w:w="2600"/>
            <w:tcBorders>
              <w:top w:val="none" w:color="FFFFFF" w:sz="0"/>
              <w:left w:val="none" w:color="FFFFFF" w:sz="0"/>
              <w:bottom w:val="none" w:color="FFFFFF" w:sz="0"/>
              <w:right w:val="none" w:color="FFFFFF" w:sz="0"/>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Milestone</w:t>
            </w:r>
          </w:p>
        </w:tc>
        <w:tc>
          <w:tcPr>
            <w:tcW w:type="dxa" w:w="4560"/>
            <w:tcBorders>
              <w:top w:val="none" w:color="FFFFFF" w:sz="0"/>
              <w:left w:val="none" w:color="FFFFFF" w:sz="0"/>
              <w:bottom w:val="none" w:color="FFFFFF" w:sz="0"/>
              <w:right w:val="none" w:color="FFFFFF" w:sz="0"/>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Verifiable Deliverable</w:t>
            </w:r>
          </w:p>
        </w:tc>
        <w:tc>
          <w:tcPr>
            <w:tcW w:type="dxa" w:w="1400"/>
            <w:tcBorders>
              <w:top w:val="none" w:color="FFFFFF" w:sz="0"/>
              <w:left w:val="none" w:color="FFFFFF" w:sz="0"/>
              <w:bottom w:val="none" w:color="FFFFFF" w:sz="0"/>
              <w:right w:val="none" w:color="FFFFFF" w:sz="0"/>
            </w:tcBorders>
            <w:shd w:fill="2D1A8A" w:val="clear"/>
            <w:tcMar>
              <w:top w:type="dxa" w:w="80"/>
              <w:left w:type="dxa" w:w="80"/>
              <w:bottom w:type="dxa" w:w="80"/>
              <w:right w:type="dxa" w:w="80"/>
            </w:tcMar>
          </w:tcPr>
          <w:p>
            <w:pPr>
              <w:jc w:val="center"/>
            </w:pPr>
            <w:r>
              <w:rPr>
                <w:rFonts w:ascii="Arial" w:cs="Arial" w:eastAsia="Arial" w:hAnsi="Arial"/>
                <w:b/>
                <w:bCs/>
                <w:color w:val="FFFFFF"/>
                <w:sz w:val="20"/>
                <w:szCs w:val="20"/>
              </w:rPr>
              <w:t xml:space="preserve">Amount</w:t>
            </w:r>
          </w:p>
        </w:tc>
      </w:tr>
      <w:tr>
        <w:tc>
          <w:tcPr>
            <w:tcW w:type="dxa" w:w="800"/>
            <w:tcBorders>
              <w:top w:val="none" w:color="FFFFFF" w:sz="0"/>
              <w:left w:val="none" w:color="FFFFFF" w:sz="0"/>
              <w:bottom w:val="none" w:color="FFFFFF" w:sz="0"/>
              <w:right w:val="none" w:color="FFFFFF" w:sz="0"/>
            </w:tcBorders>
            <w:shd w:fill="FFFFFF" w:val="clear"/>
            <w:tcMar>
              <w:top w:type="dxa" w:w="80"/>
              <w:left w:type="dxa" w:w="80"/>
              <w:bottom w:type="dxa" w:w="80"/>
              <w:right w:type="dxa" w:w="80"/>
            </w:tcMar>
          </w:tcPr>
          <w:p>
            <w:pPr>
              <w:jc w:val="center"/>
            </w:pPr>
            <w:r>
              <w:rPr>
                <w:rFonts w:ascii="Arial" w:cs="Arial" w:eastAsia="Arial" w:hAnsi="Arial"/>
                <w:b/>
                <w:bCs/>
                <w:color w:val="4B2FB8"/>
                <w:sz w:val="20"/>
                <w:szCs w:val="20"/>
              </w:rPr>
              <w:t xml:space="preserve">M1</w:t>
            </w:r>
          </w:p>
        </w:tc>
        <w:tc>
          <w:tcPr>
            <w:tcW w:type="dxa" w:w="26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22222"/>
                <w:sz w:val="20"/>
                <w:szCs w:val="20"/>
              </w:rPr>
              <w:t xml:space="preserve">Architecture &amp; NEAR Integration</w:t>
            </w:r>
          </w:p>
        </w:tc>
        <w:tc>
          <w:tcPr>
            <w:tcW w:type="dxa" w:w="45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Open source repo on GitHub. NEAR Intents + Chain Signatures on testnet. Agent coordination architecture documented. velcro.dev and velcro-technologies.com live.</w:t>
            </w:r>
          </w:p>
        </w:tc>
        <w:tc>
          <w:tcPr>
            <w:tcW w:type="dxa" w:w="1400"/>
            <w:tcBorders>
              <w:top w:val="none" w:color="FFFFFF" w:sz="0"/>
              <w:left w:val="none" w:color="FFFFFF" w:sz="0"/>
              <w:bottom w:val="none" w:color="FFFFFF" w:sz="0"/>
              <w:right w:val="none" w:color="FFFFFF" w:sz="0"/>
            </w:tcBorders>
            <w:shd w:fill="FFFFFF" w:val="clear"/>
            <w:tcMar>
              <w:top w:type="dxa" w:w="80"/>
              <w:left w:type="dxa" w:w="80"/>
              <w:bottom w:type="dxa" w:w="80"/>
              <w:right w:type="dxa" w:w="80"/>
            </w:tcMar>
          </w:tcPr>
          <w:p>
            <w:pPr>
              <w:jc w:val="center"/>
            </w:pPr>
            <w:r>
              <w:rPr>
                <w:rFonts w:ascii="Arial" w:cs="Arial" w:eastAsia="Arial" w:hAnsi="Arial"/>
                <w:b/>
                <w:bCs/>
                <w:color w:val="2D1A8A"/>
                <w:sz w:val="20"/>
                <w:szCs w:val="20"/>
              </w:rPr>
              <w:t xml:space="preserve">$25,000</w:t>
            </w:r>
          </w:p>
        </w:tc>
      </w:tr>
      <w:tr>
        <w:tc>
          <w:tcPr>
            <w:tcW w:type="dxa" w:w="800"/>
            <w:tcBorders>
              <w:top w:val="none" w:color="FFFFFF" w:sz="0"/>
              <w:left w:val="none" w:color="FFFFFF" w:sz="0"/>
              <w:bottom w:val="none" w:color="FFFFFF" w:sz="0"/>
              <w:right w:val="none" w:color="FFFFFF" w:sz="0"/>
            </w:tcBorders>
            <w:shd w:fill="F0EDFF" w:val="clear"/>
            <w:tcMar>
              <w:top w:type="dxa" w:w="80"/>
              <w:left w:type="dxa" w:w="80"/>
              <w:bottom w:type="dxa" w:w="80"/>
              <w:right w:type="dxa" w:w="80"/>
            </w:tcMar>
          </w:tcPr>
          <w:p>
            <w:pPr>
              <w:jc w:val="center"/>
            </w:pPr>
            <w:r>
              <w:rPr>
                <w:rFonts w:ascii="Arial" w:cs="Arial" w:eastAsia="Arial" w:hAnsi="Arial"/>
                <w:b/>
                <w:bCs/>
                <w:color w:val="4B2FB8"/>
                <w:sz w:val="20"/>
                <w:szCs w:val="20"/>
              </w:rPr>
              <w:t xml:space="preserve">M2</w:t>
            </w:r>
          </w:p>
        </w:tc>
        <w:tc>
          <w:tcPr>
            <w:tcW w:type="dxa" w:w="26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22222"/>
                <w:sz w:val="20"/>
                <w:szCs w:val="20"/>
              </w:rPr>
              <w:t xml:space="preserve">Core Wallet V1 — Testnet</w:t>
            </w:r>
          </w:p>
        </w:tc>
        <w:tc>
          <w:tcPr>
            <w:tcW w:type="dxa" w:w="45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Working testnet: send/receive (Solana + EVM), P2P trade flow, Trade Safety Agent, Counterparty Intelligence Agent, Language Toggle (Everyday + Pro). NEAR Intents cross-chain swap live.</w:t>
            </w:r>
          </w:p>
        </w:tc>
        <w:tc>
          <w:tcPr>
            <w:tcW w:type="dxa" w:w="1400"/>
            <w:tcBorders>
              <w:top w:val="none" w:color="FFFFFF" w:sz="0"/>
              <w:left w:val="none" w:color="FFFFFF" w:sz="0"/>
              <w:bottom w:val="none" w:color="FFFFFF" w:sz="0"/>
              <w:right w:val="none" w:color="FFFFFF" w:sz="0"/>
            </w:tcBorders>
            <w:shd w:fill="F0EDFF" w:val="clear"/>
            <w:tcMar>
              <w:top w:type="dxa" w:w="80"/>
              <w:left w:type="dxa" w:w="80"/>
              <w:bottom w:type="dxa" w:w="80"/>
              <w:right w:type="dxa" w:w="80"/>
            </w:tcMar>
          </w:tcPr>
          <w:p>
            <w:pPr>
              <w:jc w:val="center"/>
            </w:pPr>
            <w:r>
              <w:rPr>
                <w:rFonts w:ascii="Arial" w:cs="Arial" w:eastAsia="Arial" w:hAnsi="Arial"/>
                <w:b/>
                <w:bCs/>
                <w:color w:val="2D1A8A"/>
                <w:sz w:val="20"/>
                <w:szCs w:val="20"/>
              </w:rPr>
              <w:t xml:space="preserve">$40,000</w:t>
            </w:r>
          </w:p>
        </w:tc>
      </w:tr>
      <w:tr>
        <w:tc>
          <w:tcPr>
            <w:tcW w:type="dxa" w:w="800"/>
            <w:tcBorders>
              <w:top w:val="none" w:color="FFFFFF" w:sz="0"/>
              <w:left w:val="none" w:color="FFFFFF" w:sz="0"/>
              <w:bottom w:val="none" w:color="FFFFFF" w:sz="0"/>
              <w:right w:val="none" w:color="FFFFFF" w:sz="0"/>
            </w:tcBorders>
            <w:shd w:fill="FFFFFF" w:val="clear"/>
            <w:tcMar>
              <w:top w:type="dxa" w:w="80"/>
              <w:left w:type="dxa" w:w="80"/>
              <w:bottom w:type="dxa" w:w="80"/>
              <w:right w:type="dxa" w:w="80"/>
            </w:tcMar>
          </w:tcPr>
          <w:p>
            <w:pPr>
              <w:jc w:val="center"/>
            </w:pPr>
            <w:r>
              <w:rPr>
                <w:rFonts w:ascii="Arial" w:cs="Arial" w:eastAsia="Arial" w:hAnsi="Arial"/>
                <w:b/>
                <w:bCs/>
                <w:color w:val="4B2FB8"/>
                <w:sz w:val="20"/>
                <w:szCs w:val="20"/>
              </w:rPr>
              <w:t xml:space="preserve">M3</w:t>
            </w:r>
          </w:p>
        </w:tc>
        <w:tc>
          <w:tcPr>
            <w:tcW w:type="dxa" w:w="26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22222"/>
                <w:sz w:val="20"/>
                <w:szCs w:val="20"/>
              </w:rPr>
              <w:t xml:space="preserve">Security Audit</w:t>
            </w:r>
          </w:p>
        </w:tc>
        <w:tc>
          <w:tcPr>
            <w:tcW w:type="dxa" w:w="45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Third-party audit by qualified firm (e.g. Zellic, OtterSec, Trail of Bits). All critical findings resolved. Report published publicly on velcro.dev.</w:t>
            </w:r>
          </w:p>
        </w:tc>
        <w:tc>
          <w:tcPr>
            <w:tcW w:type="dxa" w:w="1400"/>
            <w:tcBorders>
              <w:top w:val="none" w:color="FFFFFF" w:sz="0"/>
              <w:left w:val="none" w:color="FFFFFF" w:sz="0"/>
              <w:bottom w:val="none" w:color="FFFFFF" w:sz="0"/>
              <w:right w:val="none" w:color="FFFFFF" w:sz="0"/>
            </w:tcBorders>
            <w:shd w:fill="FFFFFF" w:val="clear"/>
            <w:tcMar>
              <w:top w:type="dxa" w:w="80"/>
              <w:left w:type="dxa" w:w="80"/>
              <w:bottom w:type="dxa" w:w="80"/>
              <w:right w:type="dxa" w:w="80"/>
            </w:tcMar>
          </w:tcPr>
          <w:p>
            <w:pPr>
              <w:jc w:val="center"/>
            </w:pPr>
            <w:r>
              <w:rPr>
                <w:rFonts w:ascii="Arial" w:cs="Arial" w:eastAsia="Arial" w:hAnsi="Arial"/>
                <w:b/>
                <w:bCs/>
                <w:color w:val="2D1A8A"/>
                <w:sz w:val="20"/>
                <w:szCs w:val="20"/>
              </w:rPr>
              <w:t xml:space="preserve">$50,000</w:t>
            </w:r>
          </w:p>
        </w:tc>
      </w:tr>
      <w:tr>
        <w:tc>
          <w:tcPr>
            <w:tcW w:type="dxa" w:w="800"/>
            <w:tcBorders>
              <w:top w:val="none" w:color="FFFFFF" w:sz="0"/>
              <w:left w:val="none" w:color="FFFFFF" w:sz="0"/>
              <w:bottom w:val="none" w:color="FFFFFF" w:sz="0"/>
              <w:right w:val="none" w:color="FFFFFF" w:sz="0"/>
            </w:tcBorders>
            <w:shd w:fill="F0EDFF" w:val="clear"/>
            <w:tcMar>
              <w:top w:type="dxa" w:w="80"/>
              <w:left w:type="dxa" w:w="80"/>
              <w:bottom w:type="dxa" w:w="80"/>
              <w:right w:type="dxa" w:w="80"/>
            </w:tcMar>
          </w:tcPr>
          <w:p>
            <w:pPr>
              <w:jc w:val="center"/>
            </w:pPr>
            <w:r>
              <w:rPr>
                <w:rFonts w:ascii="Arial" w:cs="Arial" w:eastAsia="Arial" w:hAnsi="Arial"/>
                <w:b/>
                <w:bCs/>
                <w:color w:val="4B2FB8"/>
                <w:sz w:val="20"/>
                <w:szCs w:val="20"/>
              </w:rPr>
              <w:t xml:space="preserve">M4</w:t>
            </w:r>
          </w:p>
        </w:tc>
        <w:tc>
          <w:tcPr>
            <w:tcW w:type="dxa" w:w="26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bCs/>
                <w:color w:val="222222"/>
                <w:sz w:val="20"/>
                <w:szCs w:val="20"/>
              </w:rPr>
              <w:t xml:space="preserve">Mainnet Launch + Full Stack</w:t>
            </w:r>
          </w:p>
        </w:tc>
        <w:tc>
          <w:tcPr>
            <w:tcW w:type="dxa" w:w="45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color w:val="333333"/>
                <w:sz w:val="20"/>
                <w:szCs w:val="20"/>
              </w:rPr>
              <w:t xml:space="preserve">Public mainnet launch. All six agents live. Bank integration (Plaid + Circle). Savings vault. Open source agent SDK published on velcro.dev for NEAR ecosystem.</w:t>
            </w:r>
          </w:p>
        </w:tc>
        <w:tc>
          <w:tcPr>
            <w:tcW w:type="dxa" w:w="1400"/>
            <w:tcBorders>
              <w:top w:val="none" w:color="FFFFFF" w:sz="0"/>
              <w:left w:val="none" w:color="FFFFFF" w:sz="0"/>
              <w:bottom w:val="none" w:color="FFFFFF" w:sz="0"/>
              <w:right w:val="none" w:color="FFFFFF" w:sz="0"/>
            </w:tcBorders>
            <w:shd w:fill="F0EDFF" w:val="clear"/>
            <w:tcMar>
              <w:top w:type="dxa" w:w="80"/>
              <w:left w:type="dxa" w:w="80"/>
              <w:bottom w:type="dxa" w:w="80"/>
              <w:right w:type="dxa" w:w="80"/>
            </w:tcMar>
          </w:tcPr>
          <w:p>
            <w:pPr>
              <w:jc w:val="center"/>
            </w:pPr>
            <w:r>
              <w:rPr>
                <w:rFonts w:ascii="Arial" w:cs="Arial" w:eastAsia="Arial" w:hAnsi="Arial"/>
                <w:b/>
                <w:bCs/>
                <w:color w:val="2D1A8A"/>
                <w:sz w:val="20"/>
                <w:szCs w:val="20"/>
              </w:rPr>
              <w:t xml:space="preserve">$35,000</w:t>
            </w:r>
          </w:p>
        </w:tc>
      </w:tr>
    </w:tbl>
    <w:p>
      <w:pPr>
        <w:spacing w:before="0" w:after="100"/>
      </w:pPr>
      <w:r>
        <w:t xml:space="preserve"/>
      </w:r>
    </w:p>
    <w:p>
      <w:pPr>
        <w:pStyle w:val="Heading2"/>
        <w:spacing w:before="280" w:after="120"/>
      </w:pPr>
      <w:r>
        <w:rPr>
          <w:rFonts w:ascii="Arial" w:cs="Arial" w:eastAsia="Arial" w:hAnsi="Arial"/>
          <w:b/>
          <w:bCs/>
          <w:color w:val="4B2FB8"/>
          <w:sz w:val="24"/>
          <w:szCs w:val="24"/>
        </w:rPr>
        <w:t xml:space="preserve">Budget Breakdown</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5760"/>
        <w:gridCol w:w="1800"/>
        <w:gridCol w:w="1800"/>
      </w:tblGrid>
      <w:tr>
        <w:tc>
          <w:tcPr>
            <w:tcW w:type="dxa" w:w="5760"/>
            <w:tcBorders>
              <w:top w:val="none" w:color="FFFFFF" w:sz="0"/>
              <w:left w:val="none" w:color="FFFFFF" w:sz="0"/>
              <w:bottom w:val="none" w:color="FFFFFF" w:sz="0"/>
              <w:right w:val="none" w:color="FFFFFF" w:sz="0"/>
            </w:tcBorders>
            <w:shd w:fill="2D1A8A"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Item</w:t>
            </w:r>
          </w:p>
        </w:tc>
        <w:tc>
          <w:tcPr>
            <w:tcW w:type="dxa" w:w="1800"/>
            <w:tcBorders>
              <w:top w:val="none" w:color="FFFFFF" w:sz="0"/>
              <w:left w:val="none" w:color="FFFFFF" w:sz="0"/>
              <w:bottom w:val="none" w:color="FFFFFF" w:sz="0"/>
              <w:right w:val="none" w:color="FFFFFF" w:sz="0"/>
            </w:tcBorders>
            <w:shd w:fill="2D1A8A"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Amount</w:t>
            </w:r>
          </w:p>
        </w:tc>
        <w:tc>
          <w:tcPr>
            <w:tcW w:type="dxa" w:w="1800"/>
            <w:tcBorders>
              <w:top w:val="none" w:color="FFFFFF" w:sz="0"/>
              <w:left w:val="none" w:color="FFFFFF" w:sz="0"/>
              <w:bottom w:val="none" w:color="FFFFFF" w:sz="0"/>
              <w:right w:val="none" w:color="FFFFFF" w:sz="0"/>
            </w:tcBorders>
            <w:shd w:fill="2D1A8A"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 of Total</w:t>
            </w:r>
          </w:p>
        </w:tc>
      </w:tr>
      <w:tr>
        <w:tc>
          <w:tcPr>
            <w:tcW w:type="dxa" w:w="57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Core wallet development (Solana + EVM + NEAR Intents)</w:t>
            </w:r>
          </w:p>
        </w:tc>
        <w:tc>
          <w:tcPr>
            <w:tcW w:type="dxa" w:w="1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$45,000</w:t>
            </w:r>
          </w:p>
        </w:tc>
        <w:tc>
          <w:tcPr>
            <w:tcW w:type="dxa" w:w="1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30%</w:t>
            </w:r>
          </w:p>
        </w:tc>
      </w:tr>
      <w:tr>
        <w:tc>
          <w:tcPr>
            <w:tcW w:type="dxa" w:w="57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val="false"/>
                <w:bCs w:val="false"/>
                <w:color w:val="333333"/>
                <w:sz w:val="20"/>
                <w:szCs w:val="20"/>
              </w:rPr>
              <w:t xml:space="preserve">Six-agent AI coordination stack</w:t>
            </w:r>
          </w:p>
        </w:tc>
        <w:tc>
          <w:tcPr>
            <w:tcW w:type="dxa" w:w="1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$30,000</w:t>
            </w:r>
          </w:p>
        </w:tc>
        <w:tc>
          <w:tcPr>
            <w:tcW w:type="dxa" w:w="1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20%</w:t>
            </w:r>
          </w:p>
        </w:tc>
      </w:tr>
      <w:tr>
        <w:tc>
          <w:tcPr>
            <w:tcW w:type="dxa" w:w="57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Third-party security audit</w:t>
            </w:r>
          </w:p>
        </w:tc>
        <w:tc>
          <w:tcPr>
            <w:tcW w:type="dxa" w:w="1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$50,000</w:t>
            </w:r>
          </w:p>
        </w:tc>
        <w:tc>
          <w:tcPr>
            <w:tcW w:type="dxa" w:w="1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33%</w:t>
            </w:r>
          </w:p>
        </w:tc>
      </w:tr>
      <w:tr>
        <w:tc>
          <w:tcPr>
            <w:tcW w:type="dxa" w:w="57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val="false"/>
                <w:bCs w:val="false"/>
                <w:color w:val="333333"/>
                <w:sz w:val="20"/>
                <w:szCs w:val="20"/>
              </w:rPr>
              <w:t xml:space="preserve">Swiss GmbH legal formation + FINMA compliance review</w:t>
            </w:r>
          </w:p>
        </w:tc>
        <w:tc>
          <w:tcPr>
            <w:tcW w:type="dxa" w:w="1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$12,000</w:t>
            </w:r>
          </w:p>
        </w:tc>
        <w:tc>
          <w:tcPr>
            <w:tcW w:type="dxa" w:w="1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8%</w:t>
            </w:r>
          </w:p>
        </w:tc>
      </w:tr>
      <w:tr>
        <w:tc>
          <w:tcPr>
            <w:tcW w:type="dxa" w:w="57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Infrastructure APIs (Helius, Alchemy, GoPlus, etc.)</w:t>
            </w:r>
          </w:p>
        </w:tc>
        <w:tc>
          <w:tcPr>
            <w:tcW w:type="dxa" w:w="1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$8,000</w:t>
            </w:r>
          </w:p>
        </w:tc>
        <w:tc>
          <w:tcPr>
            <w:tcW w:type="dxa" w:w="18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5%</w:t>
            </w:r>
          </w:p>
        </w:tc>
      </w:tr>
      <w:tr>
        <w:tc>
          <w:tcPr>
            <w:tcW w:type="dxa" w:w="576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r>
              <w:rPr>
                <w:rFonts w:ascii="Arial" w:cs="Arial" w:eastAsia="Arial" w:hAnsi="Arial"/>
                <w:b w:val="false"/>
                <w:bCs w:val="false"/>
                <w:color w:val="333333"/>
                <w:sz w:val="20"/>
                <w:szCs w:val="20"/>
              </w:rPr>
              <w:t xml:space="preserve">Open source SDK + velcro.dev documentation</w:t>
            </w:r>
          </w:p>
        </w:tc>
        <w:tc>
          <w:tcPr>
            <w:tcW w:type="dxa" w:w="1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$5,000</w:t>
            </w:r>
          </w:p>
        </w:tc>
        <w:tc>
          <w:tcPr>
            <w:tcW w:type="dxa" w:w="1800"/>
            <w:tcBorders>
              <w:top w:val="none" w:color="FFFFFF" w:sz="0"/>
              <w:left w:val="none" w:color="FFFFFF" w:sz="0"/>
              <w:bottom w:val="none" w:color="FFFFFF" w:sz="0"/>
              <w:right w:val="none" w:color="FFFFFF" w:sz="0"/>
            </w:tcBorders>
            <w:shd w:fill="F0ED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w:t>
            </w:r>
          </w:p>
        </w:tc>
      </w:tr>
      <w:tr>
        <w:tc>
          <w:tcPr>
            <w:tcW w:type="dxa" w:w="5760"/>
            <w:tcBorders>
              <w:top w:val="none" w:color="FFFFFF" w:sz="0"/>
              <w:left w:val="none" w:color="FFFFFF" w:sz="0"/>
              <w:bottom w:val="none" w:color="FFFFFF" w:sz="0"/>
              <w:right w:val="none" w:color="FFFFFF" w:sz="0"/>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Total</w:t>
            </w:r>
          </w:p>
        </w:tc>
        <w:tc>
          <w:tcPr>
            <w:tcW w:type="dxa" w:w="1800"/>
            <w:tcBorders>
              <w:top w:val="none" w:color="FFFFFF" w:sz="0"/>
              <w:left w:val="none" w:color="FFFFFF" w:sz="0"/>
              <w:bottom w:val="none" w:color="FFFFFF" w:sz="0"/>
              <w:right w:val="none" w:color="FFFFFF" w:sz="0"/>
            </w:tcBorders>
            <w:shd w:fill="4B2FB8"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$150,000</w:t>
            </w:r>
          </w:p>
        </w:tc>
        <w:tc>
          <w:tcPr>
            <w:tcW w:type="dxa" w:w="1800"/>
            <w:tcBorders>
              <w:top w:val="none" w:color="FFFFFF" w:sz="0"/>
              <w:left w:val="none" w:color="FFFFFF" w:sz="0"/>
              <w:bottom w:val="none" w:color="FFFFFF" w:sz="0"/>
              <w:right w:val="none" w:color="FFFFFF" w:sz="0"/>
            </w:tcBorders>
            <w:shd w:fill="4B2FB8"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100%</w:t>
            </w:r>
          </w:p>
        </w:tc>
      </w:tr>
    </w:tbl>
    <w:p>
      <w:pPr>
        <w:spacing w:before="0" w:after="100"/>
      </w:pPr>
      <w:r>
        <w:t xml:space="preserve"/>
      </w:r>
    </w:p>
    <w:p>
      <w:pPr>
        <w:pBdr>
          <w:bottom w:val="single" w:color="9B7FE8" w:sz="2" w:space="1"/>
        </w:pBdr>
        <w:spacing w:before="200" w:after="200"/>
      </w:pPr>
      <w:r>
        <w:t xml:space="preserve"/>
      </w:r>
    </w:p>
    <w:p>
      <w:r>
        <w:br w:type="page"/>
      </w:r>
    </w:p>
    <w:p>
      <w:pPr>
        <w:pStyle w:val="Heading1"/>
        <w:pBdr>
          <w:bottom w:val="single" w:color="4B2FB8" w:sz="6" w:space="4"/>
        </w:pBdr>
        <w:spacing w:before="400" w:after="180"/>
      </w:pPr>
      <w:r>
        <w:rPr>
          <w:rFonts w:ascii="Arial" w:cs="Arial" w:eastAsia="Arial" w:hAnsi="Arial"/>
          <w:b/>
          <w:bCs/>
          <w:color w:val="2D1A8A"/>
          <w:sz w:val="30"/>
          <w:szCs w:val="30"/>
        </w:rPr>
        <w:t xml:space="preserve">Section 7 — Team</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Lara Stuart Mueller — Founder</w:t>
      </w:r>
    </w:p>
    <w:p>
      <w:pPr>
        <w:pStyle w:val="ListParagraph"/>
        <w:numPr>
          <w:ilvl w:val="0"/>
          <w:numId w:val="2"/>
        </w:numPr>
        <w:spacing w:before="60" w:after="60"/>
      </w:pPr>
      <w:r>
        <w:rPr>
          <w:rFonts w:ascii="Arial" w:cs="Arial" w:eastAsia="Arial" w:hAnsi="Arial"/>
          <w:color w:val="333333"/>
          <w:sz w:val="22"/>
          <w:szCs w:val="22"/>
        </w:rPr>
        <w:t xml:space="preserve">Swiss national based in the United States — international perspective and access to both Swiss regulatory environment and US market</w:t>
      </w:r>
    </w:p>
    <w:p>
      <w:pPr>
        <w:pStyle w:val="ListParagraph"/>
        <w:numPr>
          <w:ilvl w:val="0"/>
          <w:numId w:val="2"/>
        </w:numPr>
        <w:spacing w:before="60" w:after="60"/>
      </w:pPr>
      <w:r>
        <w:rPr>
          <w:rFonts w:ascii="Arial" w:cs="Arial" w:eastAsia="Arial" w:hAnsi="Arial"/>
          <w:color w:val="333333"/>
          <w:sz w:val="22"/>
          <w:szCs w:val="22"/>
        </w:rPr>
        <w:t xml:space="preserve">Founder, loveconcursall — building at the intersection of technology, civil rights, and financial inclusion</w:t>
      </w:r>
    </w:p>
    <w:p>
      <w:pPr>
        <w:pStyle w:val="ListParagraph"/>
        <w:numPr>
          <w:ilvl w:val="0"/>
          <w:numId w:val="2"/>
        </w:numPr>
        <w:spacing w:before="60" w:after="60"/>
      </w:pPr>
      <w:r>
        <w:rPr>
          <w:rFonts w:ascii="Arial" w:cs="Arial" w:eastAsia="Arial" w:hAnsi="Arial"/>
          <w:color w:val="333333"/>
          <w:sz w:val="22"/>
          <w:szCs w:val="22"/>
        </w:rPr>
        <w:t xml:space="preserve">Direct professional experience with the UNHCR — intimate knowledge of the unbanked and refugee market that is Velcro’s long-term mission</w:t>
      </w:r>
    </w:p>
    <w:p>
      <w:pPr>
        <w:pStyle w:val="ListParagraph"/>
        <w:numPr>
          <w:ilvl w:val="0"/>
          <w:numId w:val="2"/>
        </w:numPr>
        <w:spacing w:before="60" w:after="60"/>
      </w:pPr>
      <w:r>
        <w:rPr>
          <w:rFonts w:ascii="Arial" w:cs="Arial" w:eastAsia="Arial" w:hAnsi="Arial"/>
          <w:color w:val="333333"/>
          <w:sz w:val="22"/>
          <w:szCs w:val="22"/>
        </w:rPr>
        <w:t xml:space="preserve">Contact: lara@loveconcursall.com</w:t>
      </w:r>
    </w:p>
    <w:p>
      <w:pPr>
        <w:pStyle w:val="ListParagraph"/>
        <w:numPr>
          <w:ilvl w:val="0"/>
          <w:numId w:val="2"/>
        </w:numPr>
        <w:spacing w:before="60" w:after="60"/>
      </w:pPr>
      <w:r>
        <w:rPr>
          <w:rFonts w:ascii="Arial" w:cs="Arial" w:eastAsia="Arial" w:hAnsi="Arial"/>
          <w:color w:val="333333"/>
          <w:sz w:val="22"/>
          <w:szCs w:val="22"/>
        </w:rPr>
        <w:t xml:space="preserve">Developer site: velcro.dev  ·  Product site: velcro-technologies.com</w:t>
      </w:r>
    </w:p>
    <w:p>
      <w:pPr>
        <w:spacing w:before="0" w:after="10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60"/>
        <w:gridCol w:w="9200"/>
      </w:tblGrid>
      <w:tr>
        <w:tc>
          <w:tcPr>
            <w:tcW w:type="dxa" w:w="160"/>
            <w:tcBorders>
              <w:top w:val="none" w:color="FFFFFF" w:sz="0"/>
              <w:left w:val="none" w:color="FFFFFF" w:sz="0"/>
              <w:bottom w:val="none" w:color="FFFFFF" w:sz="0"/>
              <w:right w:val="none" w:color="FFFFFF" w:sz="0"/>
            </w:tcBorders>
            <w:shd w:fill="6B4FD8" w:val="clear"/>
          </w:tcPr>
          <w:p>
            <w:r>
              <w:t xml:space="preserve"/>
            </w:r>
          </w:p>
        </w:tc>
        <w:tc>
          <w:tcPr>
            <w:tcW w:type="dxa" w:w="920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pPr>
              <w:spacing w:after="40"/>
            </w:pPr>
            <w:r>
              <w:rPr>
                <w:rFonts w:ascii="Arial" w:cs="Arial" w:eastAsia="Arial" w:hAnsi="Arial"/>
                <w:b/>
                <w:bCs/>
                <w:color w:val="6B4FD8"/>
                <w:sz w:val="20"/>
                <w:szCs w:val="20"/>
              </w:rPr>
              <w:t xml:space="preserve">Development Team</w:t>
            </w:r>
          </w:p>
          <w:p>
            <w:r>
              <w:rPr>
                <w:rFonts w:ascii="Arial" w:cs="Arial" w:eastAsia="Arial" w:hAnsi="Arial"/>
                <w:color w:val="333333"/>
                <w:sz w:val="20"/>
                <w:szCs w:val="20"/>
              </w:rPr>
              <w:t xml:space="preserve">Core development team being recruited using grant funds: one senior Rust/Solana developer, one EVM/TypeScript developer, one AI agent orchestration engineer. Legal and compliance: Swiss legal counsel on FINMA compliance being engaged in Milestone 1.</w:t>
            </w:r>
          </w:p>
        </w:tc>
      </w:tr>
    </w:tbl>
    <w:p>
      <w:pPr>
        <w:spacing w:before="0" w:after="100"/>
      </w:pPr>
      <w:r>
        <w:t xml:space="preserve"/>
      </w:r>
    </w:p>
    <w:p>
      <w:pPr>
        <w:pBdr>
          <w:bottom w:val="single" w:color="9B7FE8" w:sz="2" w:space="1"/>
        </w:pBdr>
        <w:spacing w:before="200" w:after="200"/>
      </w:pPr>
      <w:r>
        <w:t xml:space="preserve"/>
      </w:r>
    </w:p>
    <w:p>
      <w:pPr>
        <w:pStyle w:val="Heading1"/>
        <w:pBdr>
          <w:bottom w:val="single" w:color="4B2FB8" w:sz="6" w:space="4"/>
        </w:pBdr>
        <w:spacing w:before="400" w:after="180"/>
      </w:pPr>
      <w:r>
        <w:rPr>
          <w:rFonts w:ascii="Arial" w:cs="Arial" w:eastAsia="Arial" w:hAnsi="Arial"/>
          <w:b/>
          <w:bCs/>
          <w:color w:val="2D1A8A"/>
          <w:sz w:val="30"/>
          <w:szCs w:val="30"/>
        </w:rPr>
        <w:t xml:space="preserve">Section 8 — Open Source Commitment</w:t>
      </w:r>
    </w:p>
    <w:p>
      <w:pPr>
        <w:spacing w:before="0" w:after="100"/>
      </w:pPr>
      <w:r>
        <w:t xml:space="preserve"/>
      </w:r>
    </w:p>
    <w:p>
      <w:pPr>
        <w:spacing w:before="80" w:after="80"/>
      </w:pPr>
      <w:r>
        <w:rPr>
          <w:rFonts w:ascii="Arial" w:cs="Arial" w:eastAsia="Arial" w:hAnsi="Arial"/>
          <w:color w:val="222222"/>
          <w:sz w:val="22"/>
          <w:szCs w:val="22"/>
        </w:rPr>
        <w:t xml:space="preserve">The following components will be published as open source on velcro.dev and GitHub upon mainnet launch, available to any builder in the NEAR ecosystem:</w:t>
      </w:r>
    </w:p>
    <w:p>
      <w:pPr>
        <w:spacing w:before="0" w:after="100"/>
      </w:pPr>
      <w:r>
        <w:t xml:space="preserve"/>
      </w:r>
    </w:p>
    <w:p>
      <w:pPr>
        <w:pStyle w:val="ListParagraph"/>
        <w:numPr>
          <w:ilvl w:val="0"/>
          <w:numId w:val="2"/>
        </w:numPr>
        <w:spacing w:before="60" w:after="60"/>
      </w:pPr>
      <w:r>
        <w:rPr>
          <w:rFonts w:ascii="Arial" w:cs="Arial" w:eastAsia="Arial" w:hAnsi="Arial"/>
          <w:b/>
          <w:bCs/>
          <w:color w:val="4B2FB8"/>
          <w:sz w:val="22"/>
          <w:szCs w:val="22"/>
        </w:rPr>
        <w:t xml:space="preserve">Full six-agent supervisor architecture, communication protocols, state management, and orchestration logic. Standalone SDK on velcro.dev. </w:t>
      </w:r>
      <w:r>
        <w:rPr>
          <w:rFonts w:ascii="Arial" w:cs="Arial" w:eastAsia="Arial" w:hAnsi="Arial"/>
          <w:color w:val="333333"/>
          <w:sz w:val="22"/>
          <w:szCs w:val="22"/>
        </w:rPr>
        <w:t xml:space="preserve">Agent coordination SDK</w:t>
      </w:r>
    </w:p>
    <w:p>
      <w:pPr>
        <w:pStyle w:val="ListParagraph"/>
        <w:numPr>
          <w:ilvl w:val="0"/>
          <w:numId w:val="2"/>
        </w:numPr>
        <w:spacing w:before="60" w:after="60"/>
      </w:pPr>
      <w:r>
        <w:rPr>
          <w:rFonts w:ascii="Arial" w:cs="Arial" w:eastAsia="Arial" w:hAnsi="Arial"/>
          <w:b/>
          <w:bCs/>
          <w:color w:val="4B2FB8"/>
          <w:sz w:val="22"/>
          <w:szCs w:val="22"/>
        </w:rPr>
        <w:t xml:space="preserve">Crypto-to-plain-English terminology dictionary and three-mode rendering engine. Any NEAR dApp can use this for mainstream accessibility. </w:t>
      </w:r>
      <w:r>
        <w:rPr>
          <w:rFonts w:ascii="Arial" w:cs="Arial" w:eastAsia="Arial" w:hAnsi="Arial"/>
          <w:color w:val="333333"/>
          <w:sz w:val="22"/>
          <w:szCs w:val="22"/>
        </w:rPr>
        <w:t xml:space="preserve">Language Agent + toggle system</w:t>
      </w:r>
    </w:p>
    <w:p>
      <w:pPr>
        <w:pStyle w:val="ListParagraph"/>
        <w:numPr>
          <w:ilvl w:val="0"/>
          <w:numId w:val="2"/>
        </w:numPr>
        <w:spacing w:before="60" w:after="60"/>
      </w:pPr>
      <w:r>
        <w:rPr>
          <w:rFonts w:ascii="Arial" w:cs="Arial" w:eastAsia="Arial" w:hAnsi="Arial"/>
          <w:b/>
          <w:bCs/>
          <w:color w:val="4B2FB8"/>
          <w:sz w:val="22"/>
          <w:szCs w:val="22"/>
        </w:rPr>
        <w:t xml:space="preserve">NEAR-native contacts layer with on-chain discoverability, portable social graph, and trust signal schema. Publishable as a NEAR ecosystem standard. </w:t>
      </w:r>
      <w:r>
        <w:rPr>
          <w:rFonts w:ascii="Arial" w:cs="Arial" w:eastAsia="Arial" w:hAnsi="Arial"/>
          <w:color w:val="333333"/>
          <w:sz w:val="22"/>
          <w:szCs w:val="22"/>
        </w:rPr>
        <w:t xml:space="preserve">On-chain contacts architecture</w:t>
      </w:r>
    </w:p>
    <w:p>
      <w:pPr>
        <w:pStyle w:val="ListParagraph"/>
        <w:numPr>
          <w:ilvl w:val="0"/>
          <w:numId w:val="2"/>
        </w:numPr>
        <w:spacing w:before="60" w:after="60"/>
      </w:pPr>
      <w:r>
        <w:rPr>
          <w:rFonts w:ascii="Arial" w:cs="Arial" w:eastAsia="Arial" w:hAnsi="Arial"/>
          <w:b/>
          <w:bCs/>
          <w:color w:val="4B2FB8"/>
          <w:sz w:val="22"/>
          <w:szCs w:val="22"/>
        </w:rPr>
        <w:t xml:space="preserve">Pre-trade simulation and contract risk module, including Forta, GoPlus, and honeypot detection integrations. Available to any wallet or DeFi front-end. </w:t>
      </w:r>
      <w:r>
        <w:rPr>
          <w:rFonts w:ascii="Arial" w:cs="Arial" w:eastAsia="Arial" w:hAnsi="Arial"/>
          <w:color w:val="333333"/>
          <w:sz w:val="22"/>
          <w:szCs w:val="22"/>
        </w:rPr>
        <w:t xml:space="preserve">Trade Safety Agent</w:t>
      </w:r>
    </w:p>
    <w:p>
      <w:pPr>
        <w:spacing w:before="0" w:after="100"/>
      </w:pPr>
      <w:r>
        <w:t xml:space="preserve"/>
      </w:r>
    </w:p>
    <w:p>
      <w:pPr>
        <w:spacing w:before="80" w:after="80"/>
      </w:pPr>
      <w:r>
        <w:rPr>
          <w:rFonts w:ascii="Arial" w:cs="Arial" w:eastAsia="Arial" w:hAnsi="Arial"/>
          <w:color w:val="222222"/>
          <w:sz w:val="22"/>
          <w:szCs w:val="22"/>
        </w:rPr>
        <w:t xml:space="preserve">All components published under MIT license with full documentation and integration examples on velcro.dev.</w:t>
      </w:r>
    </w:p>
    <w:p>
      <w:pPr>
        <w:spacing w:before="0" w:after="100"/>
      </w:pPr>
      <w:r>
        <w:t xml:space="preserve"/>
      </w:r>
    </w:p>
    <w:p>
      <w:pPr>
        <w:pBdr>
          <w:bottom w:val="single" w:color="9B7FE8" w:sz="2" w:space="1"/>
        </w:pBdr>
        <w:spacing w:before="200" w:after="200"/>
      </w:pPr>
      <w:r>
        <w:t xml:space="preserve"/>
      </w:r>
    </w:p>
    <w:p>
      <w:pPr>
        <w:pStyle w:val="Heading1"/>
        <w:pBdr>
          <w:bottom w:val="single" w:color="4B2FB8" w:sz="6" w:space="4"/>
        </w:pBdr>
        <w:spacing w:before="400" w:after="180"/>
      </w:pPr>
      <w:r>
        <w:rPr>
          <w:rFonts w:ascii="Arial" w:cs="Arial" w:eastAsia="Arial" w:hAnsi="Arial"/>
          <w:b/>
          <w:bCs/>
          <w:color w:val="2D1A8A"/>
          <w:sz w:val="30"/>
          <w:szCs w:val="30"/>
        </w:rPr>
        <w:t xml:space="preserve">Section 9 — Legal &amp; Compliance</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Entity Structure</w:t>
      </w:r>
    </w:p>
    <w:p>
      <w:pPr>
        <w:pStyle w:val="ListParagraph"/>
        <w:numPr>
          <w:ilvl w:val="0"/>
          <w:numId w:val="2"/>
        </w:numPr>
        <w:spacing w:before="60" w:after="60"/>
      </w:pPr>
      <w:r>
        <w:rPr>
          <w:rFonts w:ascii="Arial" w:cs="Arial" w:eastAsia="Arial" w:hAnsi="Arial"/>
          <w:b/>
          <w:bCs/>
          <w:color w:val="4B2FB8"/>
          <w:sz w:val="22"/>
          <w:szCs w:val="22"/>
        </w:rPr>
        <w:t xml:space="preserve">Formation in progress. FINMA-compliant by design — Velcro is software, not a financial service. Keys never leave user devices. The wallet holds no user funds. Legally correct architecture under Swiss law. </w:t>
      </w:r>
      <w:r>
        <w:rPr>
          <w:rFonts w:ascii="Arial" w:cs="Arial" w:eastAsia="Arial" w:hAnsi="Arial"/>
          <w:color w:val="333333"/>
          <w:sz w:val="22"/>
          <w:szCs w:val="22"/>
        </w:rPr>
        <w:t xml:space="preserve">Swiss GmbH</w:t>
      </w:r>
    </w:p>
    <w:p>
      <w:pPr>
        <w:pStyle w:val="ListParagraph"/>
        <w:numPr>
          <w:ilvl w:val="0"/>
          <w:numId w:val="2"/>
        </w:numPr>
        <w:spacing w:before="60" w:after="60"/>
      </w:pPr>
      <w:r>
        <w:rPr>
          <w:rFonts w:ascii="Arial" w:cs="Arial" w:eastAsia="Arial" w:hAnsi="Arial"/>
          <w:b/>
          <w:bCs/>
          <w:color w:val="4B2FB8"/>
          <w:sz w:val="22"/>
          <w:szCs w:val="22"/>
        </w:rPr>
        <w:t xml:space="preserve">Secondary entity for US operations. Most crypto-friendly US jurisdiction. </w:t>
      </w:r>
      <w:r>
        <w:rPr>
          <w:rFonts w:ascii="Arial" w:cs="Arial" w:eastAsia="Arial" w:hAnsi="Arial"/>
          <w:color w:val="333333"/>
          <w:sz w:val="22"/>
          <w:szCs w:val="22"/>
        </w:rPr>
        <w:t xml:space="preserve">Wyoming LLC</w:t>
      </w:r>
    </w:p>
    <w:p>
      <w:pPr>
        <w:pStyle w:val="ListParagraph"/>
        <w:numPr>
          <w:ilvl w:val="0"/>
          <w:numId w:val="2"/>
        </w:numPr>
        <w:spacing w:before="60" w:after="60"/>
      </w:pPr>
      <w:r>
        <w:rPr>
          <w:rFonts w:ascii="Arial" w:cs="Arial" w:eastAsia="Arial" w:hAnsi="Arial"/>
          <w:b/>
          <w:bCs/>
          <w:color w:val="4B2FB8"/>
          <w:sz w:val="22"/>
          <w:szCs w:val="22"/>
        </w:rPr>
        <w:t xml:space="preserve">Being engaged during Milestone 1. Budget allocated in this application. </w:t>
      </w:r>
      <w:r>
        <w:rPr>
          <w:rFonts w:ascii="Arial" w:cs="Arial" w:eastAsia="Arial" w:hAnsi="Arial"/>
          <w:color w:val="333333"/>
          <w:sz w:val="22"/>
          <w:szCs w:val="22"/>
        </w:rPr>
        <w:t xml:space="preserve">Swiss FINMA counsel</w:t>
      </w:r>
    </w:p>
    <w:p>
      <w:pPr>
        <w:spacing w:before="0" w:after="100"/>
      </w:pPr>
      <w:r>
        <w:t xml:space="preserve"/>
      </w:r>
    </w:p>
    <w:p>
      <w:pPr>
        <w:pStyle w:val="Heading2"/>
        <w:spacing w:before="280" w:after="120"/>
      </w:pPr>
      <w:r>
        <w:rPr>
          <w:rFonts w:ascii="Arial" w:cs="Arial" w:eastAsia="Arial" w:hAnsi="Arial"/>
          <w:b/>
          <w:bCs/>
          <w:color w:val="4B2FB8"/>
          <w:sz w:val="24"/>
          <w:szCs w:val="24"/>
        </w:rPr>
        <w:t xml:space="preserve">Regulatory Approach</w:t>
      </w:r>
    </w:p>
    <w:p>
      <w:pPr>
        <w:pStyle w:val="ListParagraph"/>
        <w:numPr>
          <w:ilvl w:val="0"/>
          <w:numId w:val="2"/>
        </w:numPr>
        <w:spacing w:before="60" w:after="60"/>
      </w:pPr>
      <w:r>
        <w:rPr>
          <w:rFonts w:ascii="Arial" w:cs="Arial" w:eastAsia="Arial" w:hAnsi="Arial"/>
          <w:b/>
          <w:bCs/>
          <w:color w:val="4B2FB8"/>
          <w:sz w:val="22"/>
          <w:szCs w:val="22"/>
        </w:rPr>
        <w:t xml:space="preserve">No banking licence required in any jurisdiction. </w:t>
      </w:r>
      <w:r>
        <w:rPr>
          <w:rFonts w:ascii="Arial" w:cs="Arial" w:eastAsia="Arial" w:hAnsi="Arial"/>
          <w:color w:val="333333"/>
          <w:sz w:val="22"/>
          <w:szCs w:val="22"/>
        </w:rPr>
        <w:t xml:space="preserve">Non-custodial by design</w:t>
      </w:r>
    </w:p>
    <w:p>
      <w:pPr>
        <w:pStyle w:val="ListParagraph"/>
        <w:numPr>
          <w:ilvl w:val="0"/>
          <w:numId w:val="2"/>
        </w:numPr>
        <w:spacing w:before="60" w:after="60"/>
      </w:pPr>
      <w:r>
        <w:rPr>
          <w:rFonts w:ascii="Arial" w:cs="Arial" w:eastAsia="Arial" w:hAnsi="Arial"/>
          <w:b/>
          <w:bCs/>
          <w:color w:val="4B2FB8"/>
          <w:sz w:val="22"/>
          <w:szCs w:val="22"/>
        </w:rPr>
        <w:t xml:space="preserve">Tier 0: no KYC, receive-only. Tier 1: phone verification, $200/month send limit. Tier 2: document, $1,000/month. Tier 3: full KYC, unlimited. </w:t>
      </w:r>
      <w:r>
        <w:rPr>
          <w:rFonts w:ascii="Arial" w:cs="Arial" w:eastAsia="Arial" w:hAnsi="Arial"/>
          <w:color w:val="333333"/>
          <w:sz w:val="22"/>
          <w:szCs w:val="22"/>
        </w:rPr>
        <w:t xml:space="preserve">Tiered KYC</w:t>
      </w:r>
    </w:p>
    <w:p>
      <w:pPr>
        <w:pStyle w:val="ListParagraph"/>
        <w:numPr>
          <w:ilvl w:val="0"/>
          <w:numId w:val="2"/>
        </w:numPr>
        <w:spacing w:before="60" w:after="60"/>
      </w:pPr>
      <w:r>
        <w:rPr>
          <w:rFonts w:ascii="Arial" w:cs="Arial" w:eastAsia="Arial" w:hAnsi="Arial"/>
          <w:b/>
          <w:bCs/>
          <w:color w:val="4B2FB8"/>
          <w:sz w:val="22"/>
          <w:szCs w:val="22"/>
        </w:rPr>
        <w:t xml:space="preserve">No personal data stored on any server. All user data on device. </w:t>
      </w:r>
      <w:r>
        <w:rPr>
          <w:rFonts w:ascii="Arial" w:cs="Arial" w:eastAsia="Arial" w:hAnsi="Arial"/>
          <w:color w:val="333333"/>
          <w:sz w:val="22"/>
          <w:szCs w:val="22"/>
        </w:rPr>
        <w:t xml:space="preserve">GDPR compliant</w:t>
      </w:r>
    </w:p>
    <w:p>
      <w:pPr>
        <w:pStyle w:val="ListParagraph"/>
        <w:numPr>
          <w:ilvl w:val="0"/>
          <w:numId w:val="2"/>
        </w:numPr>
        <w:spacing w:before="60" w:after="60"/>
      </w:pPr>
      <w:r>
        <w:rPr>
          <w:rFonts w:ascii="Arial" w:cs="Arial" w:eastAsia="Arial" w:hAnsi="Arial"/>
          <w:b/>
          <w:bCs/>
          <w:color w:val="4B2FB8"/>
          <w:sz w:val="22"/>
          <w:szCs w:val="22"/>
        </w:rPr>
        <w:t xml:space="preserve">NEAR Intents naturally carries originator data for qualifying cross-chain transactions. </w:t>
      </w:r>
      <w:r>
        <w:rPr>
          <w:rFonts w:ascii="Arial" w:cs="Arial" w:eastAsia="Arial" w:hAnsi="Arial"/>
          <w:color w:val="333333"/>
          <w:sz w:val="22"/>
          <w:szCs w:val="22"/>
        </w:rPr>
        <w:t xml:space="preserve">Travel Rule</w:t>
      </w:r>
    </w:p>
    <w:p>
      <w:pPr>
        <w:spacing w:before="0" w:after="100"/>
      </w:pPr>
      <w:r>
        <w:t xml:space="preserve"/>
      </w:r>
    </w:p>
    <w:p>
      <w:pPr>
        <w:pBdr>
          <w:bottom w:val="single" w:color="9B7FE8" w:sz="2" w:space="1"/>
        </w:pBdr>
        <w:spacing w:before="200" w:after="200"/>
      </w:pPr>
      <w:r>
        <w:t xml:space="preserve"/>
      </w:r>
    </w:p>
    <w:p>
      <w:r>
        <w:br w:type="page"/>
      </w:r>
    </w:p>
    <w:p>
      <w:pPr>
        <w:pStyle w:val="Heading1"/>
        <w:pBdr>
          <w:bottom w:val="single" w:color="4B2FB8" w:sz="6" w:space="4"/>
        </w:pBdr>
        <w:spacing w:before="400" w:after="180"/>
      </w:pPr>
      <w:r>
        <w:rPr>
          <w:rFonts w:ascii="Arial" w:cs="Arial" w:eastAsia="Arial" w:hAnsi="Arial"/>
          <w:b/>
          <w:bCs/>
          <w:color w:val="2D1A8A"/>
          <w:sz w:val="30"/>
          <w:szCs w:val="30"/>
        </w:rPr>
        <w:t xml:space="preserve">Section 10 — Why This Grant, Why Now</w:t>
      </w:r>
    </w:p>
    <w:p>
      <w:pPr>
        <w:spacing w:before="0" w:after="100"/>
      </w:pPr>
      <w:r>
        <w:t xml:space="preserve"/>
      </w:r>
    </w:p>
    <w:p>
      <w:pPr>
        <w:spacing w:before="80" w:after="80"/>
      </w:pPr>
      <w:r>
        <w:rPr>
          <w:rFonts w:ascii="Arial" w:cs="Arial" w:eastAsia="Arial" w:hAnsi="Arial"/>
          <w:color w:val="222222"/>
          <w:sz w:val="22"/>
          <w:szCs w:val="22"/>
        </w:rPr>
        <w:t xml:space="preserve">NEAR Protocol is building exactly what Velcro needs at the infrastructure level: user-owned AI, chain abstraction, NEAR Intents, and Chain Signatures. Velcro is building exactly what NEAR needs at the product level: a mainstream consumer wallet that makes all of that infrastructure genuinely accessible to people who have never heard of a blockchain.</w:t>
      </w:r>
    </w:p>
    <w:p>
      <w:pPr>
        <w:spacing w:before="0" w:after="100"/>
      </w:pPr>
      <w:r>
        <w:t xml:space="preserve"/>
      </w:r>
    </w:p>
    <w:p>
      <w:pPr>
        <w:spacing w:before="80" w:after="80"/>
      </w:pPr>
      <w:r>
        <w:rPr>
          <w:rFonts w:ascii="Arial" w:cs="Arial" w:eastAsia="Arial" w:hAnsi="Arial"/>
          <w:color w:val="222222"/>
          <w:sz w:val="22"/>
          <w:szCs w:val="22"/>
        </w:rPr>
        <w:t xml:space="preserve">The alignment is not incidental. NEAR’s founding commitment to transparency, community governance, and user-owned technology is encoded into Velcro’s product at every level — from the disclosed spread to the open source SDK to the non-custodial architecture. We are not just building on NEAR’s infrastructure. We are building in NEAR’s spirit.</w:t>
      </w:r>
    </w:p>
    <w:p>
      <w:pPr>
        <w:spacing w:before="0" w:after="100"/>
      </w:pPr>
      <w:r>
        <w:t xml:space="preserve"/>
      </w:r>
    </w:p>
    <w:p>
      <w:pPr>
        <w:spacing w:before="80" w:after="80"/>
      </w:pPr>
      <w:r>
        <w:rPr>
          <w:rFonts w:ascii="Arial" w:cs="Arial" w:eastAsia="Arial" w:hAnsi="Arial"/>
          <w:color w:val="222222"/>
          <w:sz w:val="22"/>
          <w:szCs w:val="22"/>
        </w:rPr>
        <w:t xml:space="preserve">The window to build Web3 infrastructure with civil rights and human dignity at the foundation is open. It will not stay open forever. This grant funds the product that proves it can be done.</w:t>
      </w:r>
    </w:p>
    <w:p>
      <w:pPr>
        <w:spacing w:before="0" w:after="100"/>
      </w:pPr>
      <w:r>
        <w:t xml:space="preserve"/>
      </w:r>
    </w:p>
    <w:p>
      <w:pPr>
        <w:spacing w:before="280" w:after="100"/>
        <w:jc w:val="center"/>
      </w:pPr>
      <w:r>
        <w:rPr>
          <w:rFonts w:ascii="Arial" w:cs="Arial" w:eastAsia="Arial" w:hAnsi="Arial"/>
          <w:b/>
          <w:bCs/>
          <w:i/>
          <w:iCs/>
          <w:color w:val="2D1A8A"/>
          <w:sz w:val="28"/>
          <w:szCs w:val="28"/>
        </w:rPr>
        <w:t xml:space="preserve">Hook. Loop. Hold.</w:t>
      </w:r>
    </w:p>
    <w:p>
      <w:pPr>
        <w:spacing w:after="60"/>
        <w:jc w:val="center"/>
      </w:pPr>
      <w:r>
        <w:rPr>
          <w:rFonts w:ascii="Arial" w:cs="Arial" w:eastAsia="Arial" w:hAnsi="Arial"/>
          <w:color w:val="6B4FD8"/>
          <w:sz w:val="20"/>
          <w:szCs w:val="20"/>
        </w:rPr>
        <w:t xml:space="preserve">Lara Stuart Mueller  —  Founder, loveconcursall</w:t>
      </w:r>
    </w:p>
    <w:p>
      <w:pPr>
        <w:spacing w:after="60"/>
        <w:jc w:val="center"/>
      </w:pPr>
      <w:r>
        <w:rPr>
          <w:rFonts w:ascii="Arial" w:cs="Arial" w:eastAsia="Arial" w:hAnsi="Arial"/>
          <w:color w:val="9B7FE8"/>
          <w:sz w:val="20"/>
          <w:szCs w:val="20"/>
        </w:rPr>
        <w:t xml:space="preserve">lara@loveconcursall.com</w:t>
      </w:r>
    </w:p>
    <w:p>
      <w:pPr>
        <w:spacing w:after="40"/>
        <w:jc w:val="center"/>
      </w:pPr>
      <w:r>
        <w:rPr>
          <w:rFonts w:ascii="Arial" w:cs="Arial" w:eastAsia="Arial" w:hAnsi="Arial"/>
          <w:color w:val="C4B0FF"/>
          <w:sz w:val="18"/>
          <w:szCs w:val="18"/>
        </w:rPr>
        <w:t xml:space="preserve">velcro.dev  ·  velcro-technologies.com</w:t>
      </w:r>
    </w:p>
    <w:p>
      <w:pPr>
        <w:jc w:val="center"/>
      </w:pPr>
      <w:r>
        <w:rPr>
          <w:rFonts w:ascii="Arial" w:cs="Arial" w:eastAsia="Arial" w:hAnsi="Arial"/>
          <w:color w:val="9B7FE8"/>
          <w:sz w:val="18"/>
          <w:szCs w:val="18"/>
        </w:rPr>
        <w:t xml:space="preserve">Submit via: grants.near.org  ·  grants@near.foundation</w:t>
      </w:r>
    </w:p>
    <w:sectPr>
      <w:footerReference w:type="default" r:id="rId6"/>
      <w:pgSz w:w="12240" w:h="15840" w:orient="portrait"/>
      <w:pgMar w:top="1440" w:right="1440" w:bottom="1440" w:left="1440" w:header="708" w:footer="708" w:gutter="0"/>
      <w:pgNumType/>
      <w:docGrid w:linePitch="360"/>
    </w:sectPr>
    <w:p>
      <w:pPr>
        <w:pageBreakBefore/>
        <w:jc w:val="center"/>
      </w:pPr>
      <w:r>
        <w:t/>
      </w:r>
    </w:p>
    <w:p>
      <w:pPr>
        <w:jc w:val="center"/>
        <w:spacing w:before="240" w:after="120"/>
      </w:pPr>
      <w:r>
        <w:rPr>
          <w:noProof/>
        </w:rPr>
        <w:drawing>
          <wp:inline xmlns:wp="http://schemas.openxmlformats.org/drawingml/2006/wordprocessingDrawing" distT="0" distB="0" distL="0" distR="0">
            <wp:extent cx="4572000" cy="2743200"/>
            <wp:effectExtent l="0" t="0" r="0" b="0"/>
            <wp:docPr id="11" name="velcro_scre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velcro_screens"/>
                    <pic:cNvPicPr>
                      <a:picLocks noChangeAspect="1" noChangeArrowheads="1"/>
                    </pic:cNvPicPr>
                  </pic:nvPicPr>
                  <pic:blipFill>
                    <a:blip xmlns:r="http://schemas.openxmlformats.org/officeDocument/2006/relationships" r:embed="rId11"/>
                    <a:stretch>
                      <a:fillRect/>
                    </a:stretch>
                  </pic:blipFill>
                  <pic:spPr bwMode="auto">
                    <a:xfrm>
                      <a:off x="0" y="0"/>
                      <a:ext cx="4572000" cy="2743200"/>
                    </a:xfrm>
                    <a:prstGeom prst="rect">
                      <a:avLst/>
                    </a:prstGeom>
                    <a:noFill/>
                  </pic:spPr>
                </pic:pic>
              </a:graphicData>
            </a:graphic>
          </wp:inline>
        </w:drawing>
      </w:r>
    </w:p>
    <w:p>
      <w:pPr>
        <w:jc w:val="center"/>
        <w:spacing w:before="60" w:after="200"/>
      </w:pPr>
      <w:r>
        <w:rPr>
          <w:rFonts w:ascii="Arial" w:hAnsi="Arial"/>
          <w:i/>
          <w:color w:val="6B4FD8"/>
          <w:sz w:val="18"/>
        </w:rPr>
        <w:t xml:space="preserve">Velcro Wallet — four AI agent screens: Trade Safety, Language Toggle, Portfolio Intelligence, P2P Counterparty Trust.</w:t>
      </w:r>
    </w:p>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4B2FB8" w:sz="4" w:space="4"/>
      </w:pBdr>
      <w:tabs>
        <w:tab w:val="right" w:pos="9026"/>
      </w:tabs>
    </w:pPr>
    <w:r>
      <w:rPr>
        <w:rFonts w:ascii="Arial" w:cs="Arial" w:eastAsia="Arial" w:hAnsi="Arial"/>
        <w:color w:val="888888"/>
        <w:sz w:val="18"/>
        <w:szCs w:val="18"/>
      </w:rPr>
      <w:t xml:space="preserve">NEAR Foundation Grant Application — Velcro Wallet — lara@loveconcursall.com — Confidential</w:t>
    </w:r>
    <w:r>
      <w:rPr>
        <w:rFonts w:ascii="Arial" w:cs="Arial" w:eastAsia="Arial" w:hAnsi="Arial"/>
        <w:sz w:val="18"/>
        <w:szCs w:val="18"/>
      </w:rPr>
      <w:t xml:space="preserve">	</w:t>
    </w:r>
    <w:r>
      <w:rPr>
        <w:rFonts w:ascii="Arial" w:cs="Arial" w:eastAsia="Arial" w:hAnsi="Arial"/>
        <w:color w:val="888888"/>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180"/>
      <w:outlineLvl w:val="0"/>
    </w:pPr>
    <w:rPr>
      <w:rFonts w:ascii="Arial" w:cs="Arial" w:eastAsia="Arial" w:hAnsi="Arial"/>
      <w:b/>
      <w:bCs/>
      <w:color w:val="2D1A8A"/>
      <w:sz w:val="30"/>
      <w:szCs w:val="30"/>
    </w:rPr>
  </w:style>
  <w:style w:type="paragraph" w:styleId="Heading2">
    <w:name w:val="Heading 2"/>
    <w:basedOn w:val="Normal"/>
    <w:next w:val="Normal"/>
    <w:qFormat/>
    <w:pPr>
      <w:spacing w:before="280" w:after="120"/>
      <w:outlineLvl w:val="1"/>
    </w:pPr>
    <w:rPr>
      <w:rFonts w:ascii="Arial" w:cs="Arial" w:eastAsia="Arial" w:hAnsi="Arial"/>
      <w:b/>
      <w:bCs/>
      <w:color w:val="4B2FB8"/>
      <w:sz w:val="24"/>
      <w:szCs w:val="24"/>
    </w:rPr>
  </w:style>
  <w:style w:type="paragraph" w:styleId="Heading3">
    <w:name w:val="Heading 3"/>
    <w:basedOn w:val="Normal"/>
    <w:next w:val="Normal"/>
    <w:qFormat/>
    <w:pPr>
      <w:spacing w:before="200" w:after="80"/>
      <w:outlineLvl w:val="2"/>
    </w:pPr>
    <w:rPr>
      <w:rFonts w:ascii="Arial" w:cs="Arial" w:eastAsia="Arial" w:hAnsi="Arial"/>
      <w:b/>
      <w:bCs/>
      <w:color w:val="6B4FD8"/>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image" Target="media/eb1ec13ce6cab67a78587a7f4a830dd7849f4371.jpg"/><Relationship Id="rId8" Type="http://schemas.openxmlformats.org/officeDocument/2006/relationships/fontTable" Target="fontTable.xml"/><Relationship Id="rId9" Type="http://schemas.openxmlformats.org/officeDocument/2006/relationships/image" Target="media/velcro_product.jpg"/><Relationship Id="rId10" Type="http://schemas.openxmlformats.org/officeDocument/2006/relationships/image" Target="media/velcro_screens.jpg"/><Relationship Id="rId11" Type="http://schemas.openxmlformats.org/officeDocument/2006/relationships/image" Target="media/velcro_screens_light.jpg"/></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2026-04-01T02:40:11.122Z</dcterms:created>
  <dcterms:modified xsi:type="dcterms:W3CDTF">2026-04-01T02:40:11.123Z</dcterms:modified>
</cp:coreProperties>
</file>

<file path=docProps/custom.xml><?xml version="1.0" encoding="utf-8"?>
<Properties xmlns="http://schemas.openxmlformats.org/officeDocument/2006/custom-properties" xmlns:vt="http://schemas.openxmlformats.org/officeDocument/2006/docPropsVTypes"/>
</file>