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1B0F5E" w:val="clear"/>
            <w:tcMar>
              <w:top w:type="dxa" w:w="800"/>
              <w:left w:type="dxa" w:w="480"/>
              <w:bottom w:type="dxa" w:w="800"/>
              <w:right w:type="dxa" w:w="480"/>
            </w:tcMar>
          </w:tcPr>
          <w:p>
            <w:pPr>
              <w:spacing w:after="80"/>
              <w:jc w:val="center"/>
            </w:pPr>
            <w:r>
              <w:rPr>
                <w:rFonts w:ascii="Arial" w:cs="Arial" w:eastAsia="Arial" w:hAnsi="Arial"/>
                <w:color w:val="9B7FE8"/>
                <w:sz w:val="24"/>
                <w:szCs w:val="24"/>
              </w:rPr>
              <w:t xml:space="preserve">loveconcursall</w:t>
            </w:r>
          </w:p>
          <w:p>
            <w:pPr>
              <w:spacing w:after="120"/>
              <w:jc w:val="center"/>
            </w:pPr>
            <w:r>
              <w:rPr>
                <w:rFonts w:ascii="Arial" w:cs="Arial" w:eastAsia="Arial" w:hAnsi="Arial"/>
                <w:b/>
                <w:bCs/>
                <w:color w:val="FFFFFF"/>
                <w:sz w:val="64"/>
                <w:szCs w:val="64"/>
              </w:rPr>
              <w:t xml:space="preserve">VELCRO WALLET</w:t>
            </w:r>
          </w:p>
          <w:p>
            <w:pPr>
              <w:spacing w:after="200"/>
              <w:jc w:val="center"/>
            </w:pPr>
            <w:r>
              <w:rPr>
                <w:rFonts w:ascii="Arial" w:cs="Arial" w:eastAsia="Arial" w:hAnsi="Arial"/>
                <w:b w:val="false"/>
                <w:bCs w:val="false"/>
                <w:color w:val="C4B0FF"/>
                <w:sz w:val="32"/>
                <w:szCs w:val="32"/>
              </w:rPr>
              <w:t xml:space="preserve">HOOK.  LOOP.  HOLD.</w:t>
            </w:r>
          </w:p>
          <w:p>
            <w:pPr>
              <w:spacing w:before="120" w:after="120"/>
              <w:jc w:val="center"/>
            </w:pPr>
            <w:r>
              <w:rPr>
                <w:rFonts w:ascii="Arial" w:cs="Arial" w:eastAsia="Arial" w:hAnsi="Arial"/>
                <w:color w:val="4B2FB8"/>
                <w:sz w:val="28"/>
                <w:szCs w:val="28"/>
              </w:rPr>
              <w:t xml:space="preserve">—</w:t>
            </w:r>
          </w:p>
          <w:p>
            <w:pPr>
              <w:spacing w:after="160"/>
              <w:jc w:val="center"/>
            </w:pPr>
            <w:r>
              <w:rPr>
                <w:rFonts w:ascii="Arial" w:cs="Arial" w:eastAsia="Arial" w:hAnsi="Arial"/>
                <w:i/>
                <w:iCs/>
                <w:color w:val="C4B0FF"/>
                <w:sz w:val="30"/>
                <w:szCs w:val="30"/>
              </w:rPr>
              <w:t xml:space="preserve">Founding Thesis</w:t>
            </w:r>
          </w:p>
          <w:p>
            <w:pPr>
              <w:spacing w:after="80"/>
              <w:jc w:val="center"/>
            </w:pPr>
            <w:r>
              <w:rPr>
                <w:rFonts w:ascii="Arial" w:cs="Arial" w:eastAsia="Arial" w:hAnsi="Arial"/>
                <w:color w:val="9B7FE8"/>
                <w:sz w:val="22"/>
                <w:szCs w:val="22"/>
              </w:rPr>
              <w:t xml:space="preserve">Lara Stuart Mueller, Founder</w:t>
            </w:r>
          </w:p>
          <w:p>
            <w:pPr>
              <w:jc w:val="center"/>
            </w:pPr>
            <w:r>
              <w:rPr>
                <w:rFonts w:ascii="Arial" w:cs="Arial" w:eastAsia="Arial" w:hAnsi="Arial"/>
                <w:color w:val="6B4FD8"/>
                <w:sz w:val="18"/>
                <w:szCs w:val="18"/>
              </w:rPr>
              <w:t xml:space="preserve">loveconcursall  ·  Confidential</w:t>
            </w:r>
          </w:p>
        </w:tc>
      </w:tr>
    </w:tbl>
    <w:p>
      <w:pPr>
        <w:spacing w:before="0" w:after="240"/>
      </w:pPr>
      <w:r>
        <w:t xml:space="preserve"/>
      </w:r>
    </w:p>
    <w:p>
      <w:pPr>
        <w:pBdr>
          <w:left w:val="single" w:color="4B2FB8" w:sz="12" w:space="10"/>
          <w:right w:val="single" w:color="4B2FB8" w:sz="12" w:space="10"/>
        </w:pBdr>
        <w:spacing w:before="280" w:after="280"/>
        <w:ind w:left="480" w:right="480"/>
        <w:jc w:val="center"/>
      </w:pPr>
      <w:r>
        <w:rPr>
          <w:rFonts w:ascii="Arial" w:cs="Arial" w:eastAsia="Arial" w:hAnsi="Arial"/>
          <w:b/>
          <w:bCs/>
          <w:i/>
          <w:iCs/>
          <w:color w:val="2D1A8A"/>
          <w:sz w:val="26"/>
          <w:szCs w:val="26"/>
        </w:rPr>
        <w:t xml:space="preserve">The next billion people to enter the financial system will do it on their phones. They deserve a wallet built for them — not adapted for them afterward.</w:t>
      </w:r>
    </w:p>
    <w:p>
      <w:pPr>
        <w:spacing w:before="0" w:after="120"/>
      </w:pPr>
      <w:r>
        <w:t xml:space="preserve"/>
      </w:r>
    </w:p>
    <w:p>
      <w:pPr>
        <w:spacing w:before="100" w:after="100"/>
      </w:pPr>
      <w:r>
        <w:rPr>
          <w:rFonts w:ascii="Arial" w:cs="Arial" w:eastAsia="Arial" w:hAnsi="Arial"/>
          <w:color w:val="222222"/>
          <w:sz w:val="22"/>
          <w:szCs w:val="22"/>
        </w:rPr>
        <w:t xml:space="preserve">Velcro is that wallet. This is the argument for why it must exist, why it must be built the way we are building it, and why the timing has never been more urgent.</w:t>
      </w:r>
    </w:p>
    <w:p>
      <w:pPr>
        <w:spacing w:before="0" w:after="120"/>
      </w:pPr>
      <w:r>
        <w:t xml:space="preserve"/>
      </w:r>
    </w:p>
    <w:p>
      <w:pPr>
        <w:pBdr>
          <w:bottom w:val="single" w:color="9B7FE8" w:sz="2" w:space="1"/>
        </w:pBdr>
        <w:spacing w:before="240" w:after="240"/>
      </w:pPr>
      <w:r>
        <w:t xml:space="preserve"/>
      </w:r>
    </w:p>
    <w:p>
      <w:r>
        <w:br w:type="page"/>
      </w:r>
    </w:p>
    <w:p>
      <w:pPr>
        <w:pStyle w:val="Heading1"/>
        <w:pBdr>
          <w:bottom w:val="single" w:color="4B2FB8" w:sz="6" w:space="4"/>
        </w:pBdr>
        <w:spacing w:before="480" w:after="200"/>
      </w:pPr>
      <w:r>
        <w:rPr>
          <w:rFonts w:ascii="Arial" w:cs="Arial" w:eastAsia="Arial" w:hAnsi="Arial"/>
          <w:b/>
          <w:bCs/>
          <w:color w:val="2D1A8A"/>
          <w:sz w:val="34"/>
          <w:szCs w:val="34"/>
        </w:rPr>
        <w:t xml:space="preserve">I.  The Problem With Every Wallet That Exists</w:t>
      </w:r>
    </w:p>
    <w:p>
      <w:pPr>
        <w:spacing w:before="120" w:after="200"/>
      </w:pPr>
      <w:r>
        <w:rPr>
          <w:rFonts w:ascii="Arial" w:cs="Arial" w:eastAsia="Arial" w:hAnsi="Arial"/>
          <w:i/>
          <w:iCs/>
          <w:color w:val="6B4FD8"/>
          <w:sz w:val="24"/>
          <w:szCs w:val="24"/>
        </w:rPr>
        <w:t xml:space="preserve">Crypto has a wallet problem. And the wallet problem is really a people problem.</w:t>
      </w:r>
    </w:p>
    <w:p>
      <w:pPr>
        <w:spacing w:before="100" w:after="100"/>
      </w:pPr>
      <w:r>
        <w:rPr>
          <w:rFonts w:ascii="Arial" w:cs="Arial" w:eastAsia="Arial" w:hAnsi="Arial"/>
          <w:color w:val="222222"/>
          <w:sz w:val="22"/>
          <w:szCs w:val="22"/>
        </w:rPr>
        <w:t xml:space="preserve">There are currently more than 500 million people who hold cryptocurrency in some form. The wallets they use fall into two categories: powerful and unusable, or simple and untrustworthy.</w:t>
      </w:r>
    </w:p>
    <w:p>
      <w:pPr>
        <w:spacing w:before="0" w:after="120"/>
      </w:pPr>
      <w:r>
        <w:t xml:space="preserve"/>
      </w:r>
    </w:p>
    <w:p>
      <w:pPr>
        <w:spacing w:before="100" w:after="100"/>
      </w:pPr>
      <w:r>
        <w:rPr>
          <w:rFonts w:ascii="Arial" w:cs="Arial" w:eastAsia="Arial" w:hAnsi="Arial"/>
          <w:color w:val="222222"/>
          <w:sz w:val="22"/>
          <w:szCs w:val="22"/>
        </w:rPr>
        <w:t xml:space="preserve">The powerful ones — Phantom, MetaMask, Rabby — are built for people who already know what a gas fee is, what slippage means, what a program-derived address is, and why it matters that a contract was deployed 11 days ago by an anonymous wallet. These are excellent products for a very small audience.</w:t>
      </w:r>
    </w:p>
    <w:p>
      <w:pPr>
        <w:spacing w:before="0" w:after="120"/>
      </w:pPr>
      <w:r>
        <w:t xml:space="preserve"/>
      </w:r>
    </w:p>
    <w:p>
      <w:pPr>
        <w:spacing w:before="100" w:after="100"/>
      </w:pPr>
      <w:r>
        <w:rPr>
          <w:rFonts w:ascii="Arial" w:cs="Arial" w:eastAsia="Arial" w:hAnsi="Arial"/>
          <w:color w:val="222222"/>
          <w:sz w:val="22"/>
          <w:szCs w:val="22"/>
        </w:rPr>
        <w:t xml:space="preserve">The simple ones — Coinbase Wallet, Trust Wallet, most exchange-linked wallets — are designed to be accessible but are not actually safe. They hide complexity without resolving it. They do not tell you what a transaction will do before you sign it. They do not check whether the contract you are interacting with has been audited. They do not warn you when you are about to buy a honeypot token you will never be able to sell. They are friendly interfaces to a system that can drain your wallet in one tap.</w:t>
      </w:r>
    </w:p>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3000"/>
        <w:gridCol w:w="180"/>
        <w:gridCol w:w="3000"/>
        <w:gridCol w:w="180"/>
        <w:gridCol w:w="3000"/>
      </w:tblGrid>
      <w:tr>
        <w:tc>
          <w:tcPr>
            <w:tcW w:type="dxa" w:w="3000"/>
            <w:tcBorders>
              <w:top w:val="none" w:color="FFFFFF" w:sz="0"/>
              <w:left w:val="none" w:color="FFFFFF" w:sz="0"/>
              <w:bottom w:val="none" w:color="FFFFFF" w:sz="0"/>
              <w:right w:val="none" w:color="FFFFFF" w:sz="0"/>
            </w:tcBorders>
            <w:shd w:fill="2D1A8A" w:val="clear"/>
            <w:tcMar>
              <w:top w:type="dxa" w:w="160"/>
              <w:left w:type="dxa" w:w="160"/>
              <w:bottom w:type="dxa" w:w="160"/>
              <w:right w:type="dxa" w:w="160"/>
            </w:tcMar>
          </w:tcPr>
          <w:p>
            <w:pPr>
              <w:jc w:val="center"/>
            </w:pPr>
            <w:r>
              <w:rPr>
                <w:rFonts w:ascii="Arial" w:cs="Arial" w:eastAsia="Arial" w:hAnsi="Arial"/>
                <w:b/>
                <w:bCs/>
                <w:color w:val="FFFFFF"/>
                <w:sz w:val="56"/>
                <w:szCs w:val="56"/>
              </w:rPr>
              <w:t xml:space="preserve">$3.9B</w:t>
            </w:r>
          </w:p>
          <w:p>
            <w:pPr>
              <w:spacing w:before="40"/>
              <w:jc w:val="center"/>
            </w:pPr>
            <w:r>
              <w:rPr>
                <w:rFonts w:ascii="Arial" w:cs="Arial" w:eastAsia="Arial" w:hAnsi="Arial"/>
                <w:color w:val="C4B0FF"/>
                <w:sz w:val="18"/>
                <w:szCs w:val="18"/>
              </w:rPr>
              <w:t xml:space="preserve">lost to crypto scams
in 2023 alone (FBI)</w:t>
            </w:r>
          </w:p>
        </w:tc>
        <w:tc>
          <w:tcPr>
            <w:tcW w:type="dxa" w:w="180"/>
            <w:tcBorders>
              <w:top w:val="none" w:color="FFFFFF" w:sz="0"/>
              <w:left w:val="none" w:color="FFFFFF" w:sz="0"/>
              <w:bottom w:val="none" w:color="FFFFFF" w:sz="0"/>
              <w:right w:val="none" w:color="FFFFFF" w:sz="0"/>
            </w:tcBorders>
          </w:tcPr>
          <w:p>
            <w:r>
              <w:t xml:space="preserve"/>
            </w:r>
          </w:p>
        </w:tc>
        <w:tc>
          <w:tcPr>
            <w:tcW w:type="dxa" w:w="3000"/>
            <w:tcBorders>
              <w:top w:val="none" w:color="FFFFFF" w:sz="0"/>
              <w:left w:val="none" w:color="FFFFFF" w:sz="0"/>
              <w:bottom w:val="none" w:color="FFFFFF" w:sz="0"/>
              <w:right w:val="none" w:color="FFFFFF" w:sz="0"/>
            </w:tcBorders>
            <w:shd w:fill="4B2FB8" w:val="clear"/>
            <w:tcMar>
              <w:top w:type="dxa" w:w="160"/>
              <w:left w:type="dxa" w:w="160"/>
              <w:bottom w:type="dxa" w:w="160"/>
              <w:right w:type="dxa" w:w="160"/>
            </w:tcMar>
          </w:tcPr>
          <w:p>
            <w:pPr>
              <w:jc w:val="center"/>
            </w:pPr>
            <w:r>
              <w:rPr>
                <w:rFonts w:ascii="Arial" w:cs="Arial" w:eastAsia="Arial" w:hAnsi="Arial"/>
                <w:b/>
                <w:bCs/>
                <w:color w:val="FFFFFF"/>
                <w:sz w:val="56"/>
                <w:szCs w:val="56"/>
              </w:rPr>
              <w:t xml:space="preserve">70%</w:t>
            </w:r>
          </w:p>
          <w:p>
            <w:pPr>
              <w:spacing w:before="40"/>
              <w:jc w:val="center"/>
            </w:pPr>
            <w:r>
              <w:rPr>
                <w:rFonts w:ascii="Arial" w:cs="Arial" w:eastAsia="Arial" w:hAnsi="Arial"/>
                <w:color w:val="C4B0FF"/>
                <w:sz w:val="18"/>
                <w:szCs w:val="18"/>
              </w:rPr>
              <w:t xml:space="preserve">of scam victims were
using a standard wallet</w:t>
            </w:r>
          </w:p>
        </w:tc>
        <w:tc>
          <w:tcPr>
            <w:tcW w:type="dxa" w:w="180"/>
            <w:tcBorders>
              <w:top w:val="none" w:color="FFFFFF" w:sz="0"/>
              <w:left w:val="none" w:color="FFFFFF" w:sz="0"/>
              <w:bottom w:val="none" w:color="FFFFFF" w:sz="0"/>
              <w:right w:val="none" w:color="FFFFFF" w:sz="0"/>
            </w:tcBorders>
          </w:tcPr>
          <w:p>
            <w:r>
              <w:t xml:space="preserve"/>
            </w:r>
          </w:p>
        </w:tc>
        <w:tc>
          <w:tcPr>
            <w:tcW w:type="dxa" w:w="3000"/>
            <w:tcBorders>
              <w:top w:val="none" w:color="FFFFFF" w:sz="0"/>
              <w:left w:val="none" w:color="FFFFFF" w:sz="0"/>
              <w:bottom w:val="none" w:color="FFFFFF" w:sz="0"/>
              <w:right w:val="none" w:color="FFFFFF" w:sz="0"/>
            </w:tcBorders>
            <w:shd w:fill="6B4FD8" w:val="clear"/>
            <w:tcMar>
              <w:top w:type="dxa" w:w="160"/>
              <w:left w:type="dxa" w:w="160"/>
              <w:bottom w:type="dxa" w:w="160"/>
              <w:right w:type="dxa" w:w="160"/>
            </w:tcMar>
          </w:tcPr>
          <w:p>
            <w:pPr>
              <w:jc w:val="center"/>
            </w:pPr>
            <w:r>
              <w:rPr>
                <w:rFonts w:ascii="Arial" w:cs="Arial" w:eastAsia="Arial" w:hAnsi="Arial"/>
                <w:b/>
                <w:bCs/>
                <w:color w:val="FFFFFF"/>
                <w:sz w:val="56"/>
                <w:szCs w:val="56"/>
              </w:rPr>
              <w:t xml:space="preserve">92%</w:t>
            </w:r>
          </w:p>
          <w:p>
            <w:pPr>
              <w:spacing w:before="40"/>
              <w:jc w:val="center"/>
            </w:pPr>
            <w:r>
              <w:rPr>
                <w:rFonts w:ascii="Arial" w:cs="Arial" w:eastAsia="Arial" w:hAnsi="Arial"/>
                <w:color w:val="C4B0FF"/>
                <w:sz w:val="18"/>
                <w:szCs w:val="18"/>
              </w:rPr>
              <w:t xml:space="preserve">of new users say crypto
is “too confusing” to use</w:t>
            </w:r>
          </w:p>
        </w:tc>
      </w:tr>
    </w:tbl>
    <w:p>
      <w:pPr>
        <w:spacing w:before="0" w:after="120"/>
      </w:pPr>
      <w:r>
        <w:t xml:space="preserve"/>
      </w:r>
    </w:p>
    <w:p>
      <w:pPr>
        <w:spacing w:before="100" w:after="100"/>
      </w:pPr>
      <w:r>
        <w:rPr>
          <w:rFonts w:ascii="Arial" w:cs="Arial" w:eastAsia="Arial" w:hAnsi="Arial"/>
          <w:color w:val="222222"/>
          <w:sz w:val="22"/>
          <w:szCs w:val="22"/>
        </w:rPr>
        <w:t xml:space="preserve">And then there is the largest problem of all: the financial system these wallets connect to is not designed for most of the world.</w:t>
      </w:r>
    </w:p>
    <w:p>
      <w:pPr>
        <w:spacing w:before="0" w:after="120"/>
      </w:pPr>
      <w:r>
        <w:t xml:space="preserve"/>
      </w:r>
    </w:p>
    <w:p>
      <w:pPr>
        <w:spacing w:before="100" w:after="100"/>
      </w:pPr>
      <w:r>
        <w:rPr>
          <w:rFonts w:ascii="Arial" w:cs="Arial" w:eastAsia="Arial" w:hAnsi="Arial"/>
          <w:color w:val="222222"/>
          <w:sz w:val="22"/>
          <w:szCs w:val="22"/>
        </w:rPr>
        <w:t xml:space="preserve">2.6 billion people — one in three humans on earth — remain unbanked or underbanked. For them, crypto is not a speculation. It is potentially the first reliable financial infrastructure they have ever had access to. The promise of crypto — permissionless, borderless, peer-to-peer financial access — is most meaningful for the people who need it most. And yet every wallet built today assumes you have a bank account, a reliable internet connection, a device purchased in the last two years, and enough technical literacy to navigate a system designed by engineers for engineers.</w:t>
      </w:r>
    </w:p>
    <w:p>
      <w:pPr>
        <w:spacing w:before="0" w:after="120"/>
      </w:pPr>
      <w:r>
        <w:t xml:space="preserve"/>
      </w:r>
    </w:p>
    <w:p>
      <w:pPr>
        <w:pBdr>
          <w:left w:val="single" w:color="4B2FB8" w:sz="12" w:space="10"/>
          <w:right w:val="single" w:color="4B2FB8" w:sz="12" w:space="10"/>
        </w:pBdr>
        <w:spacing w:before="280" w:after="280"/>
        <w:ind w:left="480" w:right="480"/>
        <w:jc w:val="center"/>
      </w:pPr>
      <w:r>
        <w:rPr>
          <w:rFonts w:ascii="Arial" w:cs="Arial" w:eastAsia="Arial" w:hAnsi="Arial"/>
          <w:b/>
          <w:bCs/>
          <w:i/>
          <w:iCs/>
          <w:color w:val="2D1A8A"/>
          <w:sz w:val="26"/>
          <w:szCs w:val="26"/>
        </w:rPr>
        <w:t xml:space="preserve">Crypto was supposed to bank the unbanked. Every wallet built so far has served the already-banked.</w:t>
      </w:r>
    </w:p>
    <w:p>
      <w:pPr>
        <w:spacing w:before="0" w:after="120"/>
      </w:pPr>
      <w:r>
        <w:t xml:space="preserve"/>
      </w:r>
    </w:p>
    <w:p>
      <w:pPr>
        <w:spacing w:before="100" w:after="100"/>
      </w:pPr>
      <w:r>
        <w:rPr>
          <w:rFonts w:ascii="Arial" w:cs="Arial" w:eastAsia="Arial" w:hAnsi="Arial"/>
          <w:color w:val="222222"/>
          <w:sz w:val="22"/>
          <w:szCs w:val="22"/>
        </w:rPr>
        <w:t xml:space="preserve">This is the problem. Velcro is the answer.</w:t>
      </w:r>
    </w:p>
    <w:p>
      <w:pPr>
        <w:spacing w:before="0" w:after="120"/>
      </w:pPr>
      <w:r>
        <w:t xml:space="preserve"/>
      </w:r>
    </w:p>
    <w:p>
      <w:pPr>
        <w:pBdr>
          <w:bottom w:val="single" w:color="9B7FE8" w:sz="2" w:space="1"/>
        </w:pBdr>
        <w:spacing w:before="240" w:after="240"/>
      </w:pPr>
      <w:r>
        <w:t xml:space="preserve"/>
      </w:r>
    </w:p>
    <w:p>
      <w:r>
        <w:br w:type="page"/>
      </w:r>
    </w:p>
    <w:p>
      <w:pPr>
        <w:pStyle w:val="Heading1"/>
        <w:pBdr>
          <w:bottom w:val="single" w:color="4B2FB8" w:sz="6" w:space="4"/>
        </w:pBdr>
        <w:spacing w:before="480" w:after="200"/>
      </w:pPr>
      <w:r>
        <w:rPr>
          <w:rFonts w:ascii="Arial" w:cs="Arial" w:eastAsia="Arial" w:hAnsi="Arial"/>
          <w:b/>
          <w:bCs/>
          <w:color w:val="2D1A8A"/>
          <w:sz w:val="34"/>
          <w:szCs w:val="34"/>
        </w:rPr>
        <w:t xml:space="preserve">II.  What Velcro Is</w:t>
      </w:r>
    </w:p>
    <w:p>
      <w:pPr>
        <w:spacing w:before="120" w:after="200"/>
      </w:pPr>
      <w:r>
        <w:rPr>
          <w:rFonts w:ascii="Arial" w:cs="Arial" w:eastAsia="Arial" w:hAnsi="Arial"/>
          <w:i/>
          <w:iCs/>
          <w:color w:val="6B4FD8"/>
          <w:sz w:val="24"/>
          <w:szCs w:val="24"/>
        </w:rPr>
        <w:t xml:space="preserve">A unified financial operating system. As easy as PayPal for a first-time user. As powerful as a professional trading terminal for a seasoned trader. Cheaper, safer, and more honest than anything currently available.</w:t>
      </w:r>
    </w:p>
    <w:p>
      <w:pPr>
        <w:spacing w:before="100" w:after="100"/>
      </w:pPr>
      <w:r>
        <w:rPr>
          <w:rFonts w:ascii="Arial" w:cs="Arial" w:eastAsia="Arial" w:hAnsi="Arial"/>
          <w:color w:val="222222"/>
          <w:sz w:val="22"/>
          <w:szCs w:val="22"/>
        </w:rPr>
        <w:t xml:space="preserve">Velcro is a peer-to-peer wallet built on Solana and Ethereum-compatible chains, with full traditional banking integration, an AI agent coordination layer that makes every user a smarter trader, and a pricing model so transparent it makes every competitor look extractive by comparison.</w:t>
      </w:r>
    </w:p>
    <w:p>
      <w:pPr>
        <w:spacing w:before="0" w:after="120"/>
      </w:pPr>
      <w:r>
        <w:t xml:space="preserve"/>
      </w:r>
    </w:p>
    <w:p>
      <w:pPr>
        <w:spacing w:before="100" w:after="100"/>
      </w:pPr>
      <w:r>
        <w:rPr>
          <w:rFonts w:ascii="Arial" w:cs="Arial" w:eastAsia="Arial" w:hAnsi="Arial"/>
          <w:color w:val="222222"/>
          <w:sz w:val="22"/>
          <w:szCs w:val="22"/>
        </w:rPr>
        <w:t xml:space="preserve">The name is not accidental. Velcro hooks. It loops. It holds. That is exactly what this wallet does — it hooks into both the crypto world and the traditional financial world, loops them together seamlessly, and holds your assets, your identity, your contacts, and your transaction history in one place that belongs entirely to you.</w:t>
      </w:r>
    </w:p>
    <w:p>
      <w:pPr>
        <w:spacing w:before="0" w:after="120"/>
      </w:pPr>
      <w:r>
        <w:t xml:space="preserve"/>
      </w:r>
    </w:p>
    <w:p>
      <w:pPr>
        <w:pStyle w:val="Heading2"/>
        <w:spacing w:before="320" w:after="160"/>
      </w:pPr>
      <w:r>
        <w:rPr>
          <w:rFonts w:ascii="Arial" w:cs="Arial" w:eastAsia="Arial" w:hAnsi="Arial"/>
          <w:b/>
          <w:bCs/>
          <w:color w:val="4B2FB8"/>
          <w:sz w:val="26"/>
          <w:szCs w:val="26"/>
        </w:rPr>
        <w:t xml:space="preserve">The Three Principles That Cannot Be Compromised</w:t>
      </w:r>
    </w:p>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80"/>
        <w:gridCol w:w="9180"/>
      </w:tblGrid>
      <w:tr>
        <w:tc>
          <w:tcPr>
            <w:tcW w:type="dxa" w:w="180"/>
            <w:tcBorders>
              <w:top w:val="none" w:color="FFFFFF" w:sz="0"/>
              <w:left w:val="none" w:color="FFFFFF" w:sz="0"/>
              <w:bottom w:val="none" w:color="FFFFFF" w:sz="0"/>
              <w:right w:val="none" w:color="FFFFFF" w:sz="0"/>
            </w:tcBorders>
            <w:shd w:fill="2D1A8A" w:val="clear"/>
          </w:tcPr>
          <w:p>
            <w:r>
              <w:t xml:space="preserve"/>
            </w:r>
          </w:p>
        </w:tc>
        <w:tc>
          <w:tcPr>
            <w:tcW w:type="dxa" w:w="9180"/>
            <w:tcBorders>
              <w:top w:val="none" w:color="FFFFFF" w:sz="0"/>
              <w:left w:val="none" w:color="FFFFFF" w:sz="0"/>
              <w:bottom w:val="none" w:color="FFFFFF" w:sz="0"/>
              <w:right w:val="none" w:color="FFFFFF" w:sz="0"/>
            </w:tcBorders>
            <w:shd w:fill="F0EDFF" w:val="clear"/>
            <w:tcMar>
              <w:top w:type="dxa" w:w="120"/>
              <w:left w:type="dxa" w:w="240"/>
              <w:bottom w:type="dxa" w:w="120"/>
              <w:right w:type="dxa" w:w="160"/>
            </w:tcMar>
          </w:tcPr>
          <w:p>
            <w:pPr>
              <w:spacing w:after="60"/>
            </w:pPr>
            <w:r>
              <w:rPr>
                <w:rFonts w:ascii="Arial" w:cs="Arial" w:eastAsia="Arial" w:hAnsi="Arial"/>
                <w:b/>
                <w:bCs/>
                <w:color w:val="2D1A8A"/>
                <w:sz w:val="20"/>
                <w:szCs w:val="20"/>
              </w:rPr>
              <w:t xml:space="preserve">Free. Forever.</w:t>
            </w:r>
          </w:p>
          <w:p>
            <w:r>
              <w:rPr>
                <w:rFonts w:ascii="Arial" w:cs="Arial" w:eastAsia="Arial" w:hAnsi="Arial"/>
                <w:color w:val="333333"/>
                <w:sz w:val="20"/>
                <w:szCs w:val="20"/>
              </w:rPr>
              <w:t xml:space="preserve">The app is free. Every feature is free. Every user gets the full product. No tiers. No premium walls. No subscriptions. This is not a marketing position — it is an architecture decision. We do not build locked features.</w:t>
            </w:r>
          </w:p>
        </w:tc>
      </w:tr>
    </w:tbl>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80"/>
        <w:gridCol w:w="9180"/>
      </w:tblGrid>
      <w:tr>
        <w:tc>
          <w:tcPr>
            <w:tcW w:type="dxa" w:w="180"/>
            <w:tcBorders>
              <w:top w:val="none" w:color="FFFFFF" w:sz="0"/>
              <w:left w:val="none" w:color="FFFFFF" w:sz="0"/>
              <w:bottom w:val="none" w:color="FFFFFF" w:sz="0"/>
              <w:right w:val="none" w:color="FFFFFF" w:sz="0"/>
            </w:tcBorders>
            <w:shd w:fill="4B2FB8" w:val="clear"/>
          </w:tcPr>
          <w:p>
            <w:r>
              <w:t xml:space="preserve"/>
            </w:r>
          </w:p>
        </w:tc>
        <w:tc>
          <w:tcPr>
            <w:tcW w:type="dxa" w:w="9180"/>
            <w:tcBorders>
              <w:top w:val="none" w:color="FFFFFF" w:sz="0"/>
              <w:left w:val="none" w:color="FFFFFF" w:sz="0"/>
              <w:bottom w:val="none" w:color="FFFFFF" w:sz="0"/>
              <w:right w:val="none" w:color="FFFFFF" w:sz="0"/>
            </w:tcBorders>
            <w:shd w:fill="F0EDFF" w:val="clear"/>
            <w:tcMar>
              <w:top w:type="dxa" w:w="120"/>
              <w:left w:type="dxa" w:w="240"/>
              <w:bottom w:type="dxa" w:w="120"/>
              <w:right w:type="dxa" w:w="160"/>
            </w:tcMar>
          </w:tcPr>
          <w:p>
            <w:pPr>
              <w:spacing w:after="60"/>
            </w:pPr>
            <w:r>
              <w:rPr>
                <w:rFonts w:ascii="Arial" w:cs="Arial" w:eastAsia="Arial" w:hAnsi="Arial"/>
                <w:b/>
                <w:bCs/>
                <w:color w:val="4B2FB8"/>
                <w:sz w:val="20"/>
                <w:szCs w:val="20"/>
              </w:rPr>
              <w:t xml:space="preserve">Transparent. Always.</w:t>
            </w:r>
          </w:p>
          <w:p>
            <w:r>
              <w:rPr>
                <w:rFonts w:ascii="Arial" w:cs="Arial" w:eastAsia="Arial" w:hAnsi="Arial"/>
                <w:color w:val="333333"/>
                <w:sz w:val="20"/>
                <w:szCs w:val="20"/>
              </w:rPr>
              <w:t xml:space="preserve">We take a spread on trades. We say so. We show the raw market price and our price side by side. No other wallet does this. It is our most powerful trust-building feature and costs us nothing to offer. We are always cheaper than Coinbase, Cash App, and PayPal.</w:t>
            </w:r>
          </w:p>
        </w:tc>
      </w:tr>
    </w:tbl>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80"/>
        <w:gridCol w:w="9180"/>
      </w:tblGrid>
      <w:tr>
        <w:tc>
          <w:tcPr>
            <w:tcW w:type="dxa" w:w="180"/>
            <w:tcBorders>
              <w:top w:val="none" w:color="FFFFFF" w:sz="0"/>
              <w:left w:val="none" w:color="FFFFFF" w:sz="0"/>
              <w:bottom w:val="none" w:color="FFFFFF" w:sz="0"/>
              <w:right w:val="none" w:color="FFFFFF" w:sz="0"/>
            </w:tcBorders>
            <w:shd w:fill="6B4FD8" w:val="clear"/>
          </w:tcPr>
          <w:p>
            <w:r>
              <w:t xml:space="preserve"/>
            </w:r>
          </w:p>
        </w:tc>
        <w:tc>
          <w:tcPr>
            <w:tcW w:type="dxa" w:w="9180"/>
            <w:tcBorders>
              <w:top w:val="none" w:color="FFFFFF" w:sz="0"/>
              <w:left w:val="none" w:color="FFFFFF" w:sz="0"/>
              <w:bottom w:val="none" w:color="FFFFFF" w:sz="0"/>
              <w:right w:val="none" w:color="FFFFFF" w:sz="0"/>
            </w:tcBorders>
            <w:shd w:fill="F0EDFF" w:val="clear"/>
            <w:tcMar>
              <w:top w:type="dxa" w:w="120"/>
              <w:left w:type="dxa" w:w="240"/>
              <w:bottom w:type="dxa" w:w="120"/>
              <w:right w:type="dxa" w:w="160"/>
            </w:tcMar>
          </w:tcPr>
          <w:p>
            <w:pPr>
              <w:spacing w:after="60"/>
            </w:pPr>
            <w:r>
              <w:rPr>
                <w:rFonts w:ascii="Arial" w:cs="Arial" w:eastAsia="Arial" w:hAnsi="Arial"/>
                <w:b/>
                <w:bCs/>
                <w:color w:val="6B4FD8"/>
                <w:sz w:val="20"/>
                <w:szCs w:val="20"/>
              </w:rPr>
              <w:t xml:space="preserve">Intelligent by Design.</w:t>
            </w:r>
          </w:p>
          <w:p>
            <w:r>
              <w:rPr>
                <w:rFonts w:ascii="Arial" w:cs="Arial" w:eastAsia="Arial" w:hAnsi="Arial"/>
                <w:color w:val="333333"/>
                <w:sz w:val="20"/>
                <w:szCs w:val="20"/>
              </w:rPr>
              <w:t xml:space="preserve">A six-agent AI coordination layer analyzes every trade before you make it, checks every counterparty before you trust them, monitors your portfolio while you sleep, and speaks to you in whatever language — crypto or plain English — you choose. Safety is not a feature. It is the infrastructure.</w:t>
            </w:r>
          </w:p>
        </w:tc>
      </w:tr>
    </w:tbl>
    <w:p>
      <w:pPr>
        <w:spacing w:before="0" w:after="120"/>
      </w:pPr>
      <w:r>
        <w:t xml:space="preserve"/>
      </w:r>
    </w:p>
    <w:p>
      <w:pPr>
        <w:pBdr>
          <w:bottom w:val="single" w:color="9B7FE8" w:sz="2" w:space="1"/>
        </w:pBdr>
        <w:spacing w:before="240" w:after="240"/>
      </w:pPr>
      <w:r>
        <w:t xml:space="preserve"/>
      </w:r>
    </w:p>
    <w:p>
      <w:r>
        <w:br w:type="page"/>
      </w:r>
    </w:p>
    <w:p>
      <w:pPr>
        <w:pStyle w:val="Heading1"/>
        <w:pBdr>
          <w:bottom w:val="single" w:color="4B2FB8" w:sz="6" w:space="4"/>
        </w:pBdr>
        <w:spacing w:before="480" w:after="200"/>
      </w:pPr>
      <w:r>
        <w:rPr>
          <w:rFonts w:ascii="Arial" w:cs="Arial" w:eastAsia="Arial" w:hAnsi="Arial"/>
          <w:b/>
          <w:bCs/>
          <w:color w:val="2D1A8A"/>
          <w:sz w:val="34"/>
          <w:szCs w:val="34"/>
        </w:rPr>
        <w:t xml:space="preserve">III.  The Language Toggle — One Feature That Changes Everything</w:t>
      </w:r>
    </w:p>
    <w:p>
      <w:pPr>
        <w:spacing w:before="120" w:after="200"/>
      </w:pPr>
      <w:r>
        <w:rPr>
          <w:rFonts w:ascii="Arial" w:cs="Arial" w:eastAsia="Arial" w:hAnsi="Arial"/>
          <w:i/>
          <w:iCs/>
          <w:color w:val="6B4FD8"/>
          <w:sz w:val="24"/>
          <w:szCs w:val="24"/>
        </w:rPr>
        <w:t xml:space="preserve">The biggest barrier to crypto adoption is not regulation, not volatility, not even fraud. It is language.</w:t>
      </w:r>
    </w:p>
    <w:p>
      <w:pPr>
        <w:spacing w:before="100" w:after="100"/>
      </w:pPr>
      <w:r>
        <w:rPr>
          <w:rFonts w:ascii="Arial" w:cs="Arial" w:eastAsia="Arial" w:hAnsi="Arial"/>
          <w:color w:val="222222"/>
          <w:sz w:val="22"/>
          <w:szCs w:val="22"/>
        </w:rPr>
        <w:t xml:space="preserve">Crypto has developed an entire vocabulary that excludes the people who would benefit most from using it. Gas. Slippage. Liquidity pools. Smart contracts. Program-derived addresses. Basis points. Seed phrases. For someone who has never used crypto before, opening any existing wallet is like being handed a cockpit instrument panel and told to fly.</w:t>
      </w:r>
    </w:p>
    <w:p>
      <w:pPr>
        <w:spacing w:before="0" w:after="120"/>
      </w:pPr>
      <w:r>
        <w:t xml:space="preserve"/>
      </w:r>
    </w:p>
    <w:p>
      <w:pPr>
        <w:spacing w:before="100" w:after="100"/>
      </w:pPr>
      <w:r>
        <w:rPr>
          <w:rFonts w:ascii="Arial" w:cs="Arial" w:eastAsia="Arial" w:hAnsi="Arial"/>
          <w:color w:val="222222"/>
          <w:sz w:val="22"/>
          <w:szCs w:val="22"/>
        </w:rPr>
        <w:t xml:space="preserve">Velcro has a language toggle. One tap. Three modes.</w:t>
      </w:r>
    </w:p>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800"/>
        <w:gridCol w:w="3780"/>
        <w:gridCol w:w="3780"/>
      </w:tblGrid>
      <w:tr>
        <w:tc>
          <w:tcPr>
            <w:tcW w:type="dxa" w:w="1800"/>
            <w:tcBorders>
              <w:top w:val="none" w:color="FFFFFF" w:sz="0"/>
              <w:left w:val="none" w:color="FFFFFF" w:sz="0"/>
              <w:bottom w:val="none" w:color="FFFFFF" w:sz="0"/>
              <w:right w:val="none" w:color="FFFFFF" w:sz="0"/>
            </w:tcBorders>
            <w:shd w:fill="1B0F5E" w:val="clear"/>
            <w:tcMar>
              <w:top w:type="dxa" w:w="120"/>
              <w:left w:type="dxa" w:w="160"/>
              <w:bottom w:type="dxa" w:w="120"/>
              <w:right w:type="dxa" w:w="160"/>
            </w:tcMar>
          </w:tcPr>
          <w:p>
            <w:pPr>
              <w:jc w:val="center"/>
            </w:pPr>
            <w:r>
              <w:rPr>
                <w:rFonts w:ascii="Arial" w:cs="Arial" w:eastAsia="Arial" w:hAnsi="Arial"/>
                <w:b/>
                <w:bCs/>
                <w:color w:val="FFFFFF"/>
                <w:sz w:val="20"/>
                <w:szCs w:val="20"/>
              </w:rPr>
              <w:t xml:space="preserve">Mode</w:t>
            </w:r>
          </w:p>
        </w:tc>
        <w:tc>
          <w:tcPr>
            <w:tcW w:type="dxa" w:w="3780"/>
            <w:tcBorders>
              <w:top w:val="none" w:color="FFFFFF" w:sz="0"/>
              <w:left w:val="none" w:color="FFFFFF" w:sz="0"/>
              <w:bottom w:val="none" w:color="FFFFFF" w:sz="0"/>
              <w:right w:val="none" w:color="FFFFFF" w:sz="0"/>
            </w:tcBorders>
            <w:shd w:fill="2D1A8A" w:val="clear"/>
            <w:tcMar>
              <w:top w:type="dxa" w:w="120"/>
              <w:left w:type="dxa" w:w="160"/>
              <w:bottom w:type="dxa" w:w="120"/>
              <w:right w:type="dxa" w:w="160"/>
            </w:tcMar>
          </w:tcPr>
          <w:p>
            <w:pPr>
              <w:jc w:val="center"/>
            </w:pPr>
            <w:r>
              <w:rPr>
                <w:rFonts w:ascii="Arial" w:cs="Arial" w:eastAsia="Arial" w:hAnsi="Arial"/>
                <w:b/>
                <w:bCs/>
                <w:color w:val="FFFFFF"/>
                <w:sz w:val="20"/>
                <w:szCs w:val="20"/>
              </w:rPr>
              <w:t xml:space="preserve">Who it serves</w:t>
            </w:r>
          </w:p>
        </w:tc>
        <w:tc>
          <w:tcPr>
            <w:tcW w:type="dxa" w:w="3780"/>
            <w:tcBorders>
              <w:top w:val="none" w:color="FFFFFF" w:sz="0"/>
              <w:left w:val="none" w:color="FFFFFF" w:sz="0"/>
              <w:bottom w:val="none" w:color="FFFFFF" w:sz="0"/>
              <w:right w:val="none" w:color="FFFFFF" w:sz="0"/>
            </w:tcBorders>
            <w:shd w:fill="4B2FB8" w:val="clear"/>
            <w:tcMar>
              <w:top w:type="dxa" w:w="120"/>
              <w:left w:type="dxa" w:w="160"/>
              <w:bottom w:type="dxa" w:w="120"/>
              <w:right w:type="dxa" w:w="160"/>
            </w:tcMar>
          </w:tcPr>
          <w:p>
            <w:pPr>
              <w:jc w:val="center"/>
            </w:pPr>
            <w:r>
              <w:rPr>
                <w:rFonts w:ascii="Arial" w:cs="Arial" w:eastAsia="Arial" w:hAnsi="Arial"/>
                <w:b/>
                <w:bCs/>
                <w:color w:val="FFFFFF"/>
                <w:sz w:val="20"/>
                <w:szCs w:val="20"/>
              </w:rPr>
              <w:t xml:space="preserve">What they see</w:t>
            </w:r>
          </w:p>
        </w:tc>
      </w:tr>
      <w:tr>
        <w:tc>
          <w:tcPr>
            <w:tcW w:type="dxa" w:w="1800"/>
            <w:tcBorders>
              <w:top w:val="none" w:color="FFFFFF" w:sz="0"/>
              <w:left w:val="none" w:color="FFFFFF" w:sz="0"/>
              <w:bottom w:val="none" w:color="FFFFFF" w:sz="0"/>
              <w:right w:val="none" w:color="FFFFFF" w:sz="0"/>
            </w:tcBorders>
            <w:shd w:fill="F0EDFF" w:val="clear"/>
            <w:tcMar>
              <w:top w:type="dxa" w:w="100"/>
              <w:left w:type="dxa" w:w="160"/>
              <w:bottom w:type="dxa" w:w="100"/>
              <w:right w:type="dxa" w:w="160"/>
            </w:tcMar>
          </w:tcPr>
          <w:p>
            <w:r>
              <w:rPr>
                <w:rFonts w:ascii="Arial" w:cs="Arial" w:eastAsia="Arial" w:hAnsi="Arial"/>
                <w:b/>
                <w:bCs/>
                <w:color w:val="2D1A8A"/>
                <w:sz w:val="20"/>
                <w:szCs w:val="20"/>
              </w:rPr>
              <w:t xml:space="preserve">Everyday</w:t>
            </w:r>
          </w:p>
        </w:tc>
        <w:tc>
          <w:tcPr>
            <w:tcW w:type="dxa" w:w="3780"/>
            <w:tcBorders>
              <w:top w:val="none" w:color="FFFFFF" w:sz="0"/>
              <w:left w:val="none" w:color="FFFFFF" w:sz="0"/>
              <w:bottom w:val="none" w:color="FFFFFF" w:sz="0"/>
              <w:right w:val="none" w:color="FFFFFF" w:sz="0"/>
            </w:tcBorders>
            <w:shd w:fill="F0EDFF" w:val="clear"/>
            <w:tcMar>
              <w:top w:type="dxa" w:w="100"/>
              <w:left w:type="dxa" w:w="160"/>
              <w:bottom w:type="dxa" w:w="100"/>
              <w:right w:type="dxa" w:w="160"/>
            </w:tcMar>
          </w:tcPr>
          <w:p>
            <w:r>
              <w:rPr>
                <w:rFonts w:ascii="Arial" w:cs="Arial" w:eastAsia="Arial" w:hAnsi="Arial"/>
                <w:color w:val="333333"/>
                <w:sz w:val="20"/>
                <w:szCs w:val="20"/>
              </w:rPr>
              <w:t xml:space="preserve">New users, PayPal/Venmo users, anyone starting out</w:t>
            </w:r>
          </w:p>
        </w:tc>
        <w:tc>
          <w:tcPr>
            <w:tcW w:type="dxa" w:w="3780"/>
            <w:tcBorders>
              <w:top w:val="none" w:color="FFFFFF" w:sz="0"/>
              <w:left w:val="none" w:color="FFFFFF" w:sz="0"/>
              <w:bottom w:val="none" w:color="FFFFFF" w:sz="0"/>
              <w:right w:val="none" w:color="FFFFFF" w:sz="0"/>
            </w:tcBorders>
            <w:shd w:fill="F0EDFF" w:val="clear"/>
            <w:tcMar>
              <w:top w:type="dxa" w:w="100"/>
              <w:left w:type="dxa" w:w="160"/>
              <w:bottom w:type="dxa" w:w="100"/>
              <w:right w:type="dxa" w:w="160"/>
            </w:tcMar>
          </w:tcPr>
          <w:p>
            <w:r>
              <w:rPr>
                <w:rFonts w:ascii="Arial" w:cs="Arial" w:eastAsia="Arial" w:hAnsi="Arial"/>
                <w:color w:val="333333"/>
                <w:sz w:val="20"/>
                <w:szCs w:val="20"/>
              </w:rPr>
              <w:t xml:space="preserve">Dollar balances, plain English, zero crypto terms</w:t>
            </w:r>
          </w:p>
        </w:tc>
      </w:tr>
      <w:tr>
        <w:tc>
          <w:tcPr>
            <w:tcW w:type="dxa" w:w="1800"/>
            <w:tcBorders>
              <w:top w:val="none" w:color="FFFFFF" w:sz="0"/>
              <w:left w:val="none" w:color="FFFFFF" w:sz="0"/>
              <w:bottom w:val="none" w:color="FFFFFF" w:sz="0"/>
              <w:right w:val="none" w:color="FFFFFF" w:sz="0"/>
            </w:tcBorders>
            <w:shd w:fill="E8E4FF" w:val="clear"/>
            <w:tcMar>
              <w:top w:type="dxa" w:w="100"/>
              <w:left w:type="dxa" w:w="160"/>
              <w:bottom w:type="dxa" w:w="100"/>
              <w:right w:type="dxa" w:w="160"/>
            </w:tcMar>
          </w:tcPr>
          <w:p>
            <w:r>
              <w:rPr>
                <w:rFonts w:ascii="Arial" w:cs="Arial" w:eastAsia="Arial" w:hAnsi="Arial"/>
                <w:b/>
                <w:bCs/>
                <w:color w:val="4B2FB8"/>
                <w:sz w:val="20"/>
                <w:szCs w:val="20"/>
              </w:rPr>
              <w:t xml:space="preserve">Informed</w:t>
            </w:r>
          </w:p>
        </w:tc>
        <w:tc>
          <w:tcPr>
            <w:tcW w:type="dxa" w:w="3780"/>
            <w:tcBorders>
              <w:top w:val="none" w:color="FFFFFF" w:sz="0"/>
              <w:left w:val="none" w:color="FFFFFF" w:sz="0"/>
              <w:bottom w:val="none" w:color="FFFFFF" w:sz="0"/>
              <w:right w:val="none" w:color="FFFFFF" w:sz="0"/>
            </w:tcBorders>
            <w:shd w:fill="E8E4FF" w:val="clear"/>
            <w:tcMar>
              <w:top w:type="dxa" w:w="100"/>
              <w:left w:type="dxa" w:w="160"/>
              <w:bottom w:type="dxa" w:w="100"/>
              <w:right w:type="dxa" w:w="160"/>
            </w:tcMar>
          </w:tcPr>
          <w:p>
            <w:r>
              <w:rPr>
                <w:rFonts w:ascii="Arial" w:cs="Arial" w:eastAsia="Arial" w:hAnsi="Arial"/>
                <w:color w:val="333333"/>
                <w:sz w:val="20"/>
                <w:szCs w:val="20"/>
              </w:rPr>
              <w:t xml:space="preserve">Users learning crypto, curious but cautious</w:t>
            </w:r>
          </w:p>
        </w:tc>
        <w:tc>
          <w:tcPr>
            <w:tcW w:type="dxa" w:w="3780"/>
            <w:tcBorders>
              <w:top w:val="none" w:color="FFFFFF" w:sz="0"/>
              <w:left w:val="none" w:color="FFFFFF" w:sz="0"/>
              <w:bottom w:val="none" w:color="FFFFFF" w:sz="0"/>
              <w:right w:val="none" w:color="FFFFFF" w:sz="0"/>
            </w:tcBorders>
            <w:shd w:fill="E8E4FF" w:val="clear"/>
            <w:tcMar>
              <w:top w:type="dxa" w:w="100"/>
              <w:left w:type="dxa" w:w="160"/>
              <w:bottom w:type="dxa" w:w="100"/>
              <w:right w:type="dxa" w:w="160"/>
            </w:tcMar>
          </w:tcPr>
          <w:p>
            <w:r>
              <w:rPr>
                <w:rFonts w:ascii="Arial" w:cs="Arial" w:eastAsia="Arial" w:hAnsi="Arial"/>
                <w:color w:val="333333"/>
                <w:sz w:val="20"/>
                <w:szCs w:val="20"/>
              </w:rPr>
              <w:t xml:space="preserve">Crypto terms with plain explanations available on tap</w:t>
            </w:r>
          </w:p>
        </w:tc>
      </w:tr>
      <w:tr>
        <w:tc>
          <w:tcPr>
            <w:tcW w:type="dxa" w:w="1800"/>
            <w:tcBorders>
              <w:top w:val="none" w:color="FFFFFF" w:sz="0"/>
              <w:left w:val="none" w:color="FFFFFF" w:sz="0"/>
              <w:bottom w:val="none" w:color="FFFFFF" w:sz="0"/>
              <w:right w:val="none" w:color="FFFFFF" w:sz="0"/>
            </w:tcBorders>
            <w:shd w:fill="F0EDFF" w:val="clear"/>
            <w:tcMar>
              <w:top w:type="dxa" w:w="100"/>
              <w:left w:type="dxa" w:w="160"/>
              <w:bottom w:type="dxa" w:w="100"/>
              <w:right w:type="dxa" w:w="160"/>
            </w:tcMar>
          </w:tcPr>
          <w:p>
            <w:r>
              <w:rPr>
                <w:rFonts w:ascii="Arial" w:cs="Arial" w:eastAsia="Arial" w:hAnsi="Arial"/>
                <w:b/>
                <w:bCs/>
                <w:color w:val="6B4FD8"/>
                <w:sz w:val="20"/>
                <w:szCs w:val="20"/>
              </w:rPr>
              <w:t xml:space="preserve">Pro</w:t>
            </w:r>
          </w:p>
        </w:tc>
        <w:tc>
          <w:tcPr>
            <w:tcW w:type="dxa" w:w="3780"/>
            <w:tcBorders>
              <w:top w:val="none" w:color="FFFFFF" w:sz="0"/>
              <w:left w:val="none" w:color="FFFFFF" w:sz="0"/>
              <w:bottom w:val="none" w:color="FFFFFF" w:sz="0"/>
              <w:right w:val="none" w:color="FFFFFF" w:sz="0"/>
            </w:tcBorders>
            <w:shd w:fill="F0EDFF" w:val="clear"/>
            <w:tcMar>
              <w:top w:type="dxa" w:w="100"/>
              <w:left w:type="dxa" w:w="160"/>
              <w:bottom w:type="dxa" w:w="100"/>
              <w:right w:type="dxa" w:w="160"/>
            </w:tcMar>
          </w:tcPr>
          <w:p>
            <w:r>
              <w:rPr>
                <w:rFonts w:ascii="Arial" w:cs="Arial" w:eastAsia="Arial" w:hAnsi="Arial"/>
                <w:color w:val="333333"/>
                <w:sz w:val="20"/>
                <w:szCs w:val="20"/>
              </w:rPr>
              <w:t xml:space="preserve">Active traders, DeFi users, experienced crypto participants</w:t>
            </w:r>
          </w:p>
        </w:tc>
        <w:tc>
          <w:tcPr>
            <w:tcW w:type="dxa" w:w="3780"/>
            <w:tcBorders>
              <w:top w:val="none" w:color="FFFFFF" w:sz="0"/>
              <w:left w:val="none" w:color="FFFFFF" w:sz="0"/>
              <w:bottom w:val="none" w:color="FFFFFF" w:sz="0"/>
              <w:right w:val="none" w:color="FFFFFF" w:sz="0"/>
            </w:tcBorders>
            <w:shd w:fill="F0EDFF" w:val="clear"/>
            <w:tcMar>
              <w:top w:type="dxa" w:w="100"/>
              <w:left w:type="dxa" w:w="160"/>
              <w:bottom w:type="dxa" w:w="100"/>
              <w:right w:type="dxa" w:w="160"/>
            </w:tcMar>
          </w:tcPr>
          <w:p>
            <w:r>
              <w:rPr>
                <w:rFonts w:ascii="Arial" w:cs="Arial" w:eastAsia="Arial" w:hAnsi="Arial"/>
                <w:color w:val="333333"/>
                <w:sz w:val="20"/>
                <w:szCs w:val="20"/>
              </w:rPr>
              <w:t xml:space="preserve">Full technical data, raw agent outputs, advanced controls</w:t>
            </w:r>
          </w:p>
        </w:tc>
      </w:tr>
    </w:tbl>
    <w:p>
      <w:pPr>
        <w:spacing w:before="0" w:after="120"/>
      </w:pPr>
      <w:r>
        <w:t xml:space="preserve"/>
      </w:r>
    </w:p>
    <w:p>
      <w:pPr>
        <w:spacing w:before="100" w:after="100"/>
      </w:pPr>
      <w:r>
        <w:rPr>
          <w:rFonts w:ascii="Arial" w:cs="Arial" w:eastAsia="Arial" w:hAnsi="Arial"/>
          <w:color w:val="222222"/>
          <w:sz w:val="22"/>
          <w:szCs w:val="22"/>
        </w:rPr>
        <w:t xml:space="preserve">The toggle is not a UI feature. It is powered by a Language Agent that receives output from every other agent in the system and renders it in whichever mode is active. Switch modes and everything changes simultaneously — every label, every alert, every risk summary, every market brief. The same product. Two completely different experiences.</w:t>
      </w:r>
    </w:p>
    <w:p>
      <w:pPr>
        <w:spacing w:before="0" w:after="120"/>
      </w:pPr>
      <w:r>
        <w:t xml:space="preserve"/>
      </w:r>
    </w:p>
    <w:p>
      <w:pPr>
        <w:spacing w:before="100" w:after="100"/>
      </w:pPr>
      <w:r>
        <w:rPr>
          <w:rFonts w:ascii="Arial" w:cs="Arial" w:eastAsia="Arial" w:hAnsi="Arial"/>
          <w:color w:val="222222"/>
          <w:sz w:val="22"/>
          <w:szCs w:val="22"/>
        </w:rPr>
        <w:t xml:space="preserve">This is the feature that makes Velcro genuinely universal. The same wallet works for a first-generation immigrant sending money home for the first time and for a DeFi trader managing a multi-chain portfolio. Nobody has built this. We are building it.</w:t>
      </w:r>
    </w:p>
    <w:p>
      <w:pPr>
        <w:spacing w:before="0" w:after="120"/>
      </w:pPr>
      <w:r>
        <w:t xml:space="preserve"/>
      </w:r>
    </w:p>
    <w:p>
      <w:pPr>
        <w:pBdr>
          <w:bottom w:val="single" w:color="9B7FE8" w:sz="2" w:space="1"/>
        </w:pBdr>
        <w:spacing w:before="240" w:after="240"/>
      </w:pPr>
      <w:r>
        <w:t xml:space="preserve"/>
      </w:r>
    </w:p>
    <w:p>
      <w:r>
        <w:br w:type="page"/>
      </w:r>
    </w:p>
    <w:p>
      <w:pPr>
        <w:pStyle w:val="Heading1"/>
        <w:pBdr>
          <w:bottom w:val="single" w:color="4B2FB8" w:sz="6" w:space="4"/>
        </w:pBdr>
        <w:spacing w:before="480" w:after="200"/>
      </w:pPr>
      <w:r>
        <w:rPr>
          <w:rFonts w:ascii="Arial" w:cs="Arial" w:eastAsia="Arial" w:hAnsi="Arial"/>
          <w:b/>
          <w:bCs/>
          <w:color w:val="2D1A8A"/>
          <w:sz w:val="34"/>
          <w:szCs w:val="34"/>
        </w:rPr>
        <w:t xml:space="preserve">IV.  Safety as Infrastructure</w:t>
      </w:r>
    </w:p>
    <w:p>
      <w:pPr>
        <w:spacing w:before="120" w:after="200"/>
      </w:pPr>
      <w:r>
        <w:rPr>
          <w:rFonts w:ascii="Arial" w:cs="Arial" w:eastAsia="Arial" w:hAnsi="Arial"/>
          <w:i/>
          <w:iCs/>
          <w:color w:val="6B4FD8"/>
          <w:sz w:val="24"/>
          <w:szCs w:val="24"/>
        </w:rPr>
        <w:t xml:space="preserve">Most wallets treat safety as a warning label. Velcro treats it as the foundation.</w:t>
      </w:r>
    </w:p>
    <w:p>
      <w:pPr>
        <w:spacing w:before="100" w:after="100"/>
      </w:pPr>
      <w:r>
        <w:rPr>
          <w:rFonts w:ascii="Arial" w:cs="Arial" w:eastAsia="Arial" w:hAnsi="Arial"/>
          <w:color w:val="222222"/>
          <w:sz w:val="22"/>
          <w:szCs w:val="22"/>
        </w:rPr>
        <w:t xml:space="preserve">Every single transaction that passes through Velcro is analyzed by an agent coordination stack before the user is ever asked to sign. This is not an optional feature. It cannot be turned off. It is the infrastructure.</w:t>
      </w:r>
    </w:p>
    <w:p>
      <w:pPr>
        <w:spacing w:before="0" w:after="120"/>
      </w:pPr>
      <w:r>
        <w:t xml:space="preserve"/>
      </w:r>
    </w:p>
    <w:p>
      <w:pPr>
        <w:spacing w:before="100" w:after="100"/>
      </w:pPr>
      <w:r>
        <w:rPr>
          <w:rFonts w:ascii="Arial" w:cs="Arial" w:eastAsia="Arial" w:hAnsi="Arial"/>
          <w:color w:val="222222"/>
          <w:sz w:val="22"/>
          <w:szCs w:val="22"/>
        </w:rPr>
        <w:t xml:space="preserve">Before you sign a single transaction, Velcro has already:</w:t>
      </w:r>
    </w:p>
    <w:p>
      <w:pPr>
        <w:spacing w:before="0" w:after="120"/>
      </w:pPr>
      <w:r>
        <w:t xml:space="preserve"/>
      </w:r>
    </w:p>
    <w:p>
      <w:pPr>
        <w:pStyle w:val="ListParagraph"/>
        <w:numPr>
          <w:ilvl w:val="0"/>
          <w:numId w:val="2"/>
        </w:numPr>
        <w:spacing w:before="60" w:after="60"/>
      </w:pPr>
      <w:r>
        <w:rPr>
          <w:rFonts w:ascii="Arial" w:cs="Arial" w:eastAsia="Arial" w:hAnsi="Arial"/>
          <w:color w:val="222222"/>
          <w:sz w:val="22"/>
          <w:szCs w:val="22"/>
        </w:rPr>
        <w:t xml:space="preserve">Simulated the transaction and shown you in plain language exactly what will happen — which tokens move, in which direction, to which address, with what permissions granted</w:t>
      </w:r>
    </w:p>
    <w:p>
      <w:pPr>
        <w:pStyle w:val="ListParagraph"/>
        <w:numPr>
          <w:ilvl w:val="0"/>
          <w:numId w:val="2"/>
        </w:numPr>
        <w:spacing w:before="60" w:after="60"/>
      </w:pPr>
      <w:r>
        <w:rPr>
          <w:rFonts w:ascii="Arial" w:cs="Arial" w:eastAsia="Arial" w:hAnsi="Arial"/>
          <w:color w:val="222222"/>
          <w:sz w:val="22"/>
          <w:szCs w:val="22"/>
        </w:rPr>
        <w:t xml:space="preserve">Checked the contract against audit databases, verified its age, checked for mint functions that could allow unlimited supply creation, and checked whether it has been flagged anywhere for malicious behavior</w:t>
      </w:r>
    </w:p>
    <w:p>
      <w:pPr>
        <w:pStyle w:val="ListParagraph"/>
        <w:numPr>
          <w:ilvl w:val="0"/>
          <w:numId w:val="2"/>
        </w:numPr>
        <w:spacing w:before="60" w:after="60"/>
      </w:pPr>
      <w:r>
        <w:rPr>
          <w:rFonts w:ascii="Arial" w:cs="Arial" w:eastAsia="Arial" w:hAnsi="Arial"/>
          <w:color w:val="222222"/>
          <w:sz w:val="22"/>
          <w:szCs w:val="22"/>
        </w:rPr>
        <w:t xml:space="preserve">Run the token through honeypot detection — catching tokens engineered so you can buy but never sell</w:t>
      </w:r>
    </w:p>
    <w:p>
      <w:pPr>
        <w:pStyle w:val="ListParagraph"/>
        <w:numPr>
          <w:ilvl w:val="0"/>
          <w:numId w:val="2"/>
        </w:numPr>
        <w:spacing w:before="60" w:after="60"/>
      </w:pPr>
      <w:r>
        <w:rPr>
          <w:rFonts w:ascii="Arial" w:cs="Arial" w:eastAsia="Arial" w:hAnsi="Arial"/>
          <w:color w:val="222222"/>
          <w:sz w:val="22"/>
          <w:szCs w:val="22"/>
        </w:rPr>
        <w:t xml:space="preserve">Checked the counterparty wallet's on-chain history — its age, its transaction patterns, and whether it has ever been involved in a known scam or sanctions violation</w:t>
      </w:r>
    </w:p>
    <w:p>
      <w:pPr>
        <w:pStyle w:val="ListParagraph"/>
        <w:numPr>
          <w:ilvl w:val="0"/>
          <w:numId w:val="2"/>
        </w:numPr>
        <w:spacing w:before="60" w:after="60"/>
      </w:pPr>
      <w:r>
        <w:rPr>
          <w:rFonts w:ascii="Arial" w:cs="Arial" w:eastAsia="Arial" w:hAnsi="Arial"/>
          <w:color w:val="222222"/>
          <w:sz w:val="22"/>
          <w:szCs w:val="22"/>
        </w:rPr>
        <w:t xml:space="preserve">Produced a three-line verdict in your chosen language: what this trade does, what the risks are, and a confidence signal</w:t>
      </w:r>
    </w:p>
    <w:p>
      <w:pPr>
        <w:spacing w:before="0" w:after="120"/>
      </w:pPr>
      <w:r>
        <w:t xml:space="preserve"/>
      </w:r>
    </w:p>
    <w:p>
      <w:pPr>
        <w:spacing w:before="100" w:after="100"/>
      </w:pPr>
      <w:r>
        <w:rPr>
          <w:rFonts w:ascii="Arial" w:cs="Arial" w:eastAsia="Arial" w:hAnsi="Arial"/>
          <w:color w:val="222222"/>
          <w:sz w:val="22"/>
          <w:szCs w:val="22"/>
        </w:rPr>
        <w:t xml:space="preserve">All of this happens in seconds. The user sees a clean, clear summary. The complexity is invisible. The protection is complete.</w:t>
      </w:r>
    </w:p>
    <w:p>
      <w:pPr>
        <w:spacing w:before="0" w:after="120"/>
      </w:pPr>
      <w:r>
        <w:t xml:space="preserve"/>
      </w:r>
    </w:p>
    <w:p>
      <w:pPr>
        <w:pBdr>
          <w:left w:val="single" w:color="4B2FB8" w:sz="12" w:space="10"/>
          <w:right w:val="single" w:color="4B2FB8" w:sz="12" w:space="10"/>
        </w:pBdr>
        <w:spacing w:before="280" w:after="280"/>
        <w:ind w:left="480" w:right="480"/>
        <w:jc w:val="center"/>
      </w:pPr>
      <w:r>
        <w:rPr>
          <w:rFonts w:ascii="Arial" w:cs="Arial" w:eastAsia="Arial" w:hAnsi="Arial"/>
          <w:b/>
          <w:bCs/>
          <w:i/>
          <w:iCs/>
          <w:color w:val="2D1A8A"/>
          <w:sz w:val="26"/>
          <w:szCs w:val="26"/>
        </w:rPr>
        <w:t xml:space="preserve">Any competitor can copy your agent prompt in an afternoon. They cannot copy a safety architecture that has been tuned against real-world failure modes for months. That is the moat.</w:t>
      </w:r>
    </w:p>
    <w:p>
      <w:pPr>
        <w:spacing w:before="0" w:after="120"/>
      </w:pPr>
      <w:r>
        <w:t xml:space="preserve"/>
      </w:r>
    </w:p>
    <w:p>
      <w:pPr>
        <w:spacing w:before="100" w:after="100"/>
      </w:pPr>
      <w:r>
        <w:rPr>
          <w:rFonts w:ascii="Arial" w:cs="Arial" w:eastAsia="Arial" w:hAnsi="Arial"/>
          <w:color w:val="222222"/>
          <w:sz w:val="22"/>
          <w:szCs w:val="22"/>
        </w:rPr>
        <w:t xml:space="preserve">And the Velcro safety architecture extends beyond individual transactions. The Market Intelligence Agent runs continuously in the background, monitoring whale wallet movements, funding rate extremes, and on-chain anomalies. The Portfolio Intelligence Agent tracks your own trading patterns and surfaces behavioral observations you would never see yourself. The Anomaly Detection layer learns what is normal for you and flags what is not.</w:t>
      </w:r>
    </w:p>
    <w:p>
      <w:pPr>
        <w:spacing w:before="0" w:after="120"/>
      </w:pPr>
      <w:r>
        <w:t xml:space="preserve"/>
      </w:r>
    </w:p>
    <w:p>
      <w:pPr>
        <w:spacing w:before="100" w:after="100"/>
      </w:pPr>
      <w:r>
        <w:rPr>
          <w:rFonts w:ascii="Arial" w:cs="Arial" w:eastAsia="Arial" w:hAnsi="Arial"/>
          <w:color w:val="222222"/>
          <w:sz w:val="22"/>
          <w:szCs w:val="22"/>
        </w:rPr>
        <w:t xml:space="preserve">Safety in Velcro is not a feature. It is the product.</w:t>
      </w:r>
    </w:p>
    <w:p>
      <w:pPr>
        <w:spacing w:before="0" w:after="120"/>
      </w:pPr>
      <w:r>
        <w:t xml:space="preserve"/>
      </w:r>
    </w:p>
    <w:p>
      <w:pPr>
        <w:pBdr>
          <w:bottom w:val="single" w:color="9B7FE8" w:sz="2" w:space="1"/>
        </w:pBdr>
        <w:spacing w:before="240" w:after="240"/>
      </w:pPr>
      <w:r>
        <w:t xml:space="preserve"/>
      </w:r>
    </w:p>
    <w:p>
      <w:r>
        <w:br w:type="page"/>
      </w:r>
    </w:p>
    <w:p>
      <w:pPr>
        <w:pStyle w:val="Heading1"/>
        <w:pBdr>
          <w:bottom w:val="single" w:color="4B2FB8" w:sz="6" w:space="4"/>
        </w:pBdr>
        <w:spacing w:before="480" w:after="200"/>
      </w:pPr>
      <w:r>
        <w:rPr>
          <w:rFonts w:ascii="Arial" w:cs="Arial" w:eastAsia="Arial" w:hAnsi="Arial"/>
          <w:b/>
          <w:bCs/>
          <w:color w:val="2D1A8A"/>
          <w:sz w:val="34"/>
          <w:szCs w:val="34"/>
        </w:rPr>
        <w:t xml:space="preserve">V.  The Market We Are Addressing</w:t>
      </w:r>
    </w:p>
    <w:p>
      <w:pPr>
        <w:spacing w:before="120" w:after="200"/>
      </w:pPr>
      <w:r>
        <w:rPr>
          <w:rFonts w:ascii="Arial" w:cs="Arial" w:eastAsia="Arial" w:hAnsi="Arial"/>
          <w:i/>
          <w:iCs/>
          <w:color w:val="6B4FD8"/>
          <w:sz w:val="24"/>
          <w:szCs w:val="24"/>
        </w:rPr>
        <w:t xml:space="preserve">This is not a niche product. It is the product that the next phase of crypto adoption requires.</w:t>
      </w:r>
    </w:p>
    <w:p>
      <w:pPr>
        <w:spacing w:before="100" w:after="100"/>
      </w:pPr>
      <w:r>
        <w:rPr>
          <w:rFonts w:ascii="Arial" w:cs="Arial" w:eastAsia="Arial" w:hAnsi="Arial"/>
          <w:color w:val="222222"/>
          <w:sz w:val="22"/>
          <w:szCs w:val="22"/>
        </w:rPr>
        <w:t xml:space="preserve">The first wave of crypto adoption — roughly 2017 to 2023 — was driven by speculation. The people who came in during that wave were disproportionately wealthy, technically literate, and primarily located in high-income countries. The products built for them reflect that.</w:t>
      </w:r>
    </w:p>
    <w:p>
      <w:pPr>
        <w:spacing w:before="0" w:after="120"/>
      </w:pPr>
      <w:r>
        <w:t xml:space="preserve"/>
      </w:r>
    </w:p>
    <w:p>
      <w:pPr>
        <w:spacing w:before="100" w:after="100"/>
      </w:pPr>
      <w:r>
        <w:rPr>
          <w:rFonts w:ascii="Arial" w:cs="Arial" w:eastAsia="Arial" w:hAnsi="Arial"/>
          <w:color w:val="222222"/>
          <w:sz w:val="22"/>
          <w:szCs w:val="22"/>
        </w:rPr>
        <w:t xml:space="preserve">The next wave is different. It is being driven by genuine utility: remittances, savings in stable assets, access to financial services for the first time, peer-to-peer commerce without banking infrastructure. The people coming in this wave are different too — and the wallets built for the first wave will not serve them.</w:t>
      </w:r>
    </w:p>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3000"/>
        <w:gridCol w:w="180"/>
        <w:gridCol w:w="3000"/>
        <w:gridCol w:w="180"/>
        <w:gridCol w:w="3000"/>
      </w:tblGrid>
      <w:tr>
        <w:tc>
          <w:tcPr>
            <w:tcW w:type="dxa" w:w="3000"/>
            <w:tcBorders>
              <w:top w:val="none" w:color="FFFFFF" w:sz="0"/>
              <w:left w:val="none" w:color="FFFFFF" w:sz="0"/>
              <w:bottom w:val="none" w:color="FFFFFF" w:sz="0"/>
              <w:right w:val="none" w:color="FFFFFF" w:sz="0"/>
            </w:tcBorders>
            <w:shd w:fill="2D1A8A" w:val="clear"/>
            <w:tcMar>
              <w:top w:type="dxa" w:w="160"/>
              <w:left w:type="dxa" w:w="160"/>
              <w:bottom w:type="dxa" w:w="160"/>
              <w:right w:type="dxa" w:w="160"/>
            </w:tcMar>
          </w:tcPr>
          <w:p>
            <w:pPr>
              <w:jc w:val="center"/>
            </w:pPr>
            <w:r>
              <w:rPr>
                <w:rFonts w:ascii="Arial" w:cs="Arial" w:eastAsia="Arial" w:hAnsi="Arial"/>
                <w:b/>
                <w:bCs/>
                <w:color w:val="FFFFFF"/>
                <w:sz w:val="56"/>
                <w:szCs w:val="56"/>
              </w:rPr>
              <w:t xml:space="preserve">$800B</w:t>
            </w:r>
          </w:p>
          <w:p>
            <w:pPr>
              <w:spacing w:before="40"/>
              <w:jc w:val="center"/>
            </w:pPr>
            <w:r>
              <w:rPr>
                <w:rFonts w:ascii="Arial" w:cs="Arial" w:eastAsia="Arial" w:hAnsi="Arial"/>
                <w:color w:val="C4B0FF"/>
                <w:sz w:val="18"/>
                <w:szCs w:val="18"/>
              </w:rPr>
              <w:t xml:space="preserve">global remittance
flows annually</w:t>
            </w:r>
          </w:p>
        </w:tc>
        <w:tc>
          <w:tcPr>
            <w:tcW w:type="dxa" w:w="180"/>
            <w:tcBorders>
              <w:top w:val="none" w:color="FFFFFF" w:sz="0"/>
              <w:left w:val="none" w:color="FFFFFF" w:sz="0"/>
              <w:bottom w:val="none" w:color="FFFFFF" w:sz="0"/>
              <w:right w:val="none" w:color="FFFFFF" w:sz="0"/>
            </w:tcBorders>
          </w:tcPr>
          <w:p>
            <w:r>
              <w:t xml:space="preserve"/>
            </w:r>
          </w:p>
        </w:tc>
        <w:tc>
          <w:tcPr>
            <w:tcW w:type="dxa" w:w="3000"/>
            <w:tcBorders>
              <w:top w:val="none" w:color="FFFFFF" w:sz="0"/>
              <w:left w:val="none" w:color="FFFFFF" w:sz="0"/>
              <w:bottom w:val="none" w:color="FFFFFF" w:sz="0"/>
              <w:right w:val="none" w:color="FFFFFF" w:sz="0"/>
            </w:tcBorders>
            <w:shd w:fill="4B2FB8" w:val="clear"/>
            <w:tcMar>
              <w:top w:type="dxa" w:w="160"/>
              <w:left w:type="dxa" w:w="160"/>
              <w:bottom w:type="dxa" w:w="160"/>
              <w:right w:type="dxa" w:w="160"/>
            </w:tcMar>
          </w:tcPr>
          <w:p>
            <w:pPr>
              <w:jc w:val="center"/>
            </w:pPr>
            <w:r>
              <w:rPr>
                <w:rFonts w:ascii="Arial" w:cs="Arial" w:eastAsia="Arial" w:hAnsi="Arial"/>
                <w:b/>
                <w:bCs/>
                <w:color w:val="FFFFFF"/>
                <w:sz w:val="56"/>
                <w:szCs w:val="56"/>
              </w:rPr>
              <w:t xml:space="preserve">2.6B</w:t>
            </w:r>
          </w:p>
          <w:p>
            <w:pPr>
              <w:spacing w:before="40"/>
              <w:jc w:val="center"/>
            </w:pPr>
            <w:r>
              <w:rPr>
                <w:rFonts w:ascii="Arial" w:cs="Arial" w:eastAsia="Arial" w:hAnsi="Arial"/>
                <w:color w:val="C4B0FF"/>
                <w:sz w:val="18"/>
                <w:szCs w:val="18"/>
              </w:rPr>
              <w:t xml:space="preserve">unbanked or underbanked
people globally</w:t>
            </w:r>
          </w:p>
        </w:tc>
        <w:tc>
          <w:tcPr>
            <w:tcW w:type="dxa" w:w="180"/>
            <w:tcBorders>
              <w:top w:val="none" w:color="FFFFFF" w:sz="0"/>
              <w:left w:val="none" w:color="FFFFFF" w:sz="0"/>
              <w:bottom w:val="none" w:color="FFFFFF" w:sz="0"/>
              <w:right w:val="none" w:color="FFFFFF" w:sz="0"/>
            </w:tcBorders>
          </w:tcPr>
          <w:p>
            <w:r>
              <w:t xml:space="preserve"/>
            </w:r>
          </w:p>
        </w:tc>
        <w:tc>
          <w:tcPr>
            <w:tcW w:type="dxa" w:w="3000"/>
            <w:tcBorders>
              <w:top w:val="none" w:color="FFFFFF" w:sz="0"/>
              <w:left w:val="none" w:color="FFFFFF" w:sz="0"/>
              <w:bottom w:val="none" w:color="FFFFFF" w:sz="0"/>
              <w:right w:val="none" w:color="FFFFFF" w:sz="0"/>
            </w:tcBorders>
            <w:shd w:fill="6B4FD8" w:val="clear"/>
            <w:tcMar>
              <w:top w:type="dxa" w:w="160"/>
              <w:left w:type="dxa" w:w="160"/>
              <w:bottom w:type="dxa" w:w="160"/>
              <w:right w:type="dxa" w:w="160"/>
            </w:tcMar>
          </w:tcPr>
          <w:p>
            <w:pPr>
              <w:jc w:val="center"/>
            </w:pPr>
            <w:r>
              <w:rPr>
                <w:rFonts w:ascii="Arial" w:cs="Arial" w:eastAsia="Arial" w:hAnsi="Arial"/>
                <w:b/>
                <w:bCs/>
                <w:color w:val="FFFFFF"/>
                <w:sz w:val="56"/>
                <w:szCs w:val="56"/>
              </w:rPr>
              <w:t xml:space="preserve">$1.75T</w:t>
            </w:r>
          </w:p>
          <w:p>
            <w:pPr>
              <w:spacing w:before="40"/>
              <w:jc w:val="center"/>
            </w:pPr>
            <w:r>
              <w:rPr>
                <w:rFonts w:ascii="Arial" w:cs="Arial" w:eastAsia="Arial" w:hAnsi="Arial"/>
                <w:color w:val="C4B0FF"/>
                <w:sz w:val="18"/>
                <w:szCs w:val="18"/>
              </w:rPr>
              <w:t xml:space="preserve">in revenue left on table
by excluding them</w:t>
            </w:r>
          </w:p>
        </w:tc>
      </w:tr>
    </w:tbl>
    <w:p>
      <w:pPr>
        <w:spacing w:before="0" w:after="120"/>
      </w:pPr>
      <w:r>
        <w:t xml:space="preserve"/>
      </w:r>
    </w:p>
    <w:p>
      <w:pPr>
        <w:spacing w:before="100" w:after="100"/>
      </w:pPr>
      <w:r>
        <w:rPr>
          <w:rFonts w:ascii="Arial" w:cs="Arial" w:eastAsia="Arial" w:hAnsi="Arial"/>
          <w:color w:val="222222"/>
          <w:sz w:val="22"/>
          <w:szCs w:val="22"/>
        </w:rPr>
        <w:t xml:space="preserve">Velcro addresses three distinct market segments simultaneously:</w:t>
      </w:r>
    </w:p>
    <w:p>
      <w:pPr>
        <w:spacing w:before="0" w:after="120"/>
      </w:pPr>
      <w:r>
        <w:t xml:space="preserve"/>
      </w:r>
    </w:p>
    <w:p>
      <w:pPr>
        <w:pStyle w:val="Heading2"/>
        <w:spacing w:before="320" w:after="160"/>
      </w:pPr>
      <w:r>
        <w:rPr>
          <w:rFonts w:ascii="Arial" w:cs="Arial" w:eastAsia="Arial" w:hAnsi="Arial"/>
          <w:b/>
          <w:bCs/>
          <w:color w:val="4B2FB8"/>
          <w:sz w:val="26"/>
          <w:szCs w:val="26"/>
        </w:rPr>
        <w:t xml:space="preserve">The Mainstream User</w:t>
      </w:r>
    </w:p>
    <w:p>
      <w:pPr>
        <w:spacing w:before="100" w:after="100"/>
      </w:pPr>
      <w:r>
        <w:rPr>
          <w:rFonts w:ascii="Arial" w:cs="Arial" w:eastAsia="Arial" w:hAnsi="Arial"/>
          <w:color w:val="222222"/>
          <w:sz w:val="22"/>
          <w:szCs w:val="22"/>
        </w:rPr>
        <w:t xml:space="preserve">People who use PayPal, Venmo, or Cash App and are crypto-curious but crypto-afraid. They want the benefits — lower fees, faster transfers, yield on savings — without the complexity and risk they have heard about. For them, Velcro is a better PayPal with a crypto engine underneath that they never need to see.</w:t>
      </w:r>
    </w:p>
    <w:p>
      <w:pPr>
        <w:spacing w:before="0" w:after="120"/>
      </w:pPr>
      <w:r>
        <w:t xml:space="preserve"/>
      </w:r>
    </w:p>
    <w:p>
      <w:pPr>
        <w:pStyle w:val="Heading2"/>
        <w:spacing w:before="320" w:after="160"/>
      </w:pPr>
      <w:r>
        <w:rPr>
          <w:rFonts w:ascii="Arial" w:cs="Arial" w:eastAsia="Arial" w:hAnsi="Arial"/>
          <w:b/>
          <w:bCs/>
          <w:color w:val="4B2FB8"/>
          <w:sz w:val="26"/>
          <w:szCs w:val="26"/>
        </w:rPr>
        <w:t xml:space="preserve">The Active Trader</w:t>
      </w:r>
    </w:p>
    <w:p>
      <w:pPr>
        <w:spacing w:before="100" w:after="100"/>
      </w:pPr>
      <w:r>
        <w:rPr>
          <w:rFonts w:ascii="Arial" w:cs="Arial" w:eastAsia="Arial" w:hAnsi="Arial"/>
          <w:color w:val="222222"/>
          <w:sz w:val="22"/>
          <w:szCs w:val="22"/>
        </w:rPr>
        <w:t xml:space="preserve">People who trade across Solana and EVM chains and are frustrated by fragmented tooling, hidden fees, and the absence of intelligent pre-trade analysis. For them, Velcro is a unified trading interface with an AI layer that makes them smarter without slowing them down.</w:t>
      </w:r>
    </w:p>
    <w:p>
      <w:pPr>
        <w:spacing w:before="0" w:after="120"/>
      </w:pPr>
      <w:r>
        <w:t xml:space="preserve"/>
      </w:r>
    </w:p>
    <w:p>
      <w:pPr>
        <w:pStyle w:val="Heading2"/>
        <w:spacing w:before="320" w:after="160"/>
      </w:pPr>
      <w:r>
        <w:rPr>
          <w:rFonts w:ascii="Arial" w:cs="Arial" w:eastAsia="Arial" w:hAnsi="Arial"/>
          <w:b/>
          <w:bCs/>
          <w:color w:val="4B2FB8"/>
          <w:sz w:val="26"/>
          <w:szCs w:val="26"/>
        </w:rPr>
        <w:t xml:space="preserve">The Global Majority</w:t>
      </w:r>
    </w:p>
    <w:p>
      <w:pPr>
        <w:spacing w:before="100" w:after="100"/>
      </w:pPr>
      <w:r>
        <w:rPr>
          <w:rFonts w:ascii="Arial" w:cs="Arial" w:eastAsia="Arial" w:hAnsi="Arial"/>
          <w:color w:val="222222"/>
          <w:sz w:val="22"/>
          <w:szCs w:val="22"/>
        </w:rPr>
        <w:t xml:space="preserve">The 2.6 billion people who are unbanked or underbanked, many of them in conflict-affected regions or in diaspora communities sending money home. For them, Velcro is potentially the most important financial tool they have ever had access to. We are not building for this market in V1 — but everything about how we build V1 is designed so that V3 can serve them without requiring a redesign. The architecture is right from the start.</w:t>
      </w:r>
    </w:p>
    <w:p>
      <w:pPr>
        <w:spacing w:before="0" w:after="120"/>
      </w:pPr>
      <w:r>
        <w:t xml:space="preserve"/>
      </w:r>
    </w:p>
    <w:p>
      <w:pPr>
        <w:spacing w:before="100" w:after="100"/>
      </w:pPr>
      <w:r>
        <w:rPr>
          <w:rFonts w:ascii="Arial" w:cs="Arial" w:eastAsia="Arial" w:hAnsi="Arial"/>
          <w:color w:val="222222"/>
          <w:sz w:val="22"/>
          <w:szCs w:val="22"/>
        </w:rPr>
        <w:t xml:space="preserve">We know this market intimately. Our founder has direct experience working with the UNHCR. We know what a refugee in a camp needs from a financial app. We know that the social media mockery of refugees holding smartphones is not just ignorant — it is a market failure hiding in plain sight. The phone in a refugee's hand is not a luxury. It is the infrastructure of survival. And it is the device on which the next billion financial participants will onboard.</w:t>
      </w:r>
    </w:p>
    <w:p>
      <w:pPr>
        <w:spacing w:before="0" w:after="120"/>
      </w:pPr>
      <w:r>
        <w:t xml:space="preserve"/>
      </w:r>
    </w:p>
    <w:p>
      <w:pPr>
        <w:pBdr>
          <w:bottom w:val="single" w:color="9B7FE8" w:sz="2" w:space="1"/>
        </w:pBdr>
        <w:spacing w:before="240" w:after="240"/>
      </w:pPr>
      <w:r>
        <w:t xml:space="preserve"/>
      </w:r>
    </w:p>
    <w:p>
      <w:r>
        <w:br w:type="page"/>
      </w:r>
    </w:p>
    <w:p>
      <w:pPr>
        <w:pStyle w:val="Heading1"/>
        <w:pBdr>
          <w:bottom w:val="single" w:color="4B2FB8" w:sz="6" w:space="4"/>
        </w:pBdr>
        <w:spacing w:before="480" w:after="200"/>
      </w:pPr>
      <w:r>
        <w:rPr>
          <w:rFonts w:ascii="Arial" w:cs="Arial" w:eastAsia="Arial" w:hAnsi="Arial"/>
          <w:b/>
          <w:bCs/>
          <w:color w:val="2D1A8A"/>
          <w:sz w:val="34"/>
          <w:szCs w:val="34"/>
        </w:rPr>
        <w:t xml:space="preserve">VI.  The Business Model — One Stream, Done Right</w:t>
      </w:r>
    </w:p>
    <w:p>
      <w:pPr>
        <w:spacing w:before="120" w:after="200"/>
      </w:pPr>
      <w:r>
        <w:rPr>
          <w:rFonts w:ascii="Arial" w:cs="Arial" w:eastAsia="Arial" w:hAnsi="Arial"/>
          <w:i/>
          <w:iCs/>
          <w:color w:val="6B4FD8"/>
          <w:sz w:val="24"/>
          <w:szCs w:val="24"/>
        </w:rPr>
        <w:t xml:space="preserve">The most honest business model in fintech is also the most profitable one. We have chosen it deliberately.</w:t>
      </w:r>
    </w:p>
    <w:p>
      <w:pPr>
        <w:spacing w:before="100" w:after="100"/>
      </w:pPr>
      <w:r>
        <w:rPr>
          <w:rFonts w:ascii="Arial" w:cs="Arial" w:eastAsia="Arial" w:hAnsi="Arial"/>
          <w:color w:val="222222"/>
          <w:sz w:val="22"/>
          <w:szCs w:val="22"/>
        </w:rPr>
        <w:t xml:space="preserve">Velcro makes money from one source: the spread on trades. When a user buys or sells crypto through the wallet, we source liquidity from Jupiter on Solana and Uniswap on EVM, charge a marginally wider spread than the raw market price, and keep the difference. We disclose this in one sentence. We always charge less than every major competitor.</w:t>
      </w:r>
    </w:p>
    <w:p>
      <w:pPr>
        <w:spacing w:before="0" w:after="120"/>
      </w:pPr>
      <w:r>
        <w:t xml:space="preserve"/>
      </w:r>
    </w:p>
    <w:tbl>
      <w:tblPr>
        <w:tblW w:type="dxa" w:w="9360"/>
        <w:tblBorders>
          <w:top w:val="single" w:color="C4B0FF" w:sz="1"/>
          <w:left w:val="single" w:color="C4B0FF" w:sz="1"/>
          <w:bottom w:val="single" w:color="C4B0FF" w:sz="1"/>
          <w:right w:val="single" w:color="C4B0FF" w:sz="1"/>
          <w:insideH w:val="single" w:color="auto" w:sz="4"/>
          <w:insideV w:val="single" w:color="auto" w:sz="4"/>
        </w:tblBorders>
      </w:tblPr>
      <w:tblGrid>
        <w:gridCol w:w="2880"/>
        <w:gridCol w:w="2160"/>
        <w:gridCol w:w="2160"/>
        <w:gridCol w:w="2160"/>
      </w:tblGrid>
      <w:tr>
        <w:trPr>
          <w:tblHeader/>
        </w:trPr>
        <w:tc>
          <w:tcPr>
            <w:tcW w:type="dxa" w:w="2880"/>
            <w:tcBorders>
              <w:top w:val="single" w:color="C4B0FF" w:sz="1"/>
              <w:left w:val="single" w:color="C4B0FF" w:sz="1"/>
              <w:bottom w:val="single" w:color="C4B0FF" w:sz="1"/>
              <w:right w:val="single" w:color="C4B0FF"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Platform</w:t>
            </w:r>
          </w:p>
        </w:tc>
        <w:tc>
          <w:tcPr>
            <w:tcW w:type="dxa" w:w="2160"/>
            <w:tcBorders>
              <w:top w:val="single" w:color="C4B0FF" w:sz="1"/>
              <w:left w:val="single" w:color="C4B0FF" w:sz="1"/>
              <w:bottom w:val="single" w:color="C4B0FF" w:sz="1"/>
              <w:right w:val="single" w:color="C4B0FF"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Spread / Fee</w:t>
            </w:r>
          </w:p>
        </w:tc>
        <w:tc>
          <w:tcPr>
            <w:tcW w:type="dxa" w:w="2160"/>
            <w:tcBorders>
              <w:top w:val="single" w:color="C4B0FF" w:sz="1"/>
              <w:left w:val="single" w:color="C4B0FF" w:sz="1"/>
              <w:bottom w:val="single" w:color="C4B0FF" w:sz="1"/>
              <w:right w:val="single" w:color="C4B0FF"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Gas to User</w:t>
            </w:r>
          </w:p>
        </w:tc>
        <w:tc>
          <w:tcPr>
            <w:tcW w:type="dxa" w:w="2160"/>
            <w:tcBorders>
              <w:top w:val="single" w:color="C4B0FF" w:sz="1"/>
              <w:left w:val="single" w:color="C4B0FF" w:sz="1"/>
              <w:bottom w:val="single" w:color="C4B0FF" w:sz="1"/>
              <w:right w:val="single" w:color="C4B0FF"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Transparent</w:t>
            </w:r>
          </w:p>
        </w:tc>
      </w:tr>
      <w:tr>
        <w:tc>
          <w:tcPr>
            <w:tcW w:type="dxa" w:w="2880"/>
            <w:tcBorders>
              <w:top w:val="single" w:color="C4B0FF" w:sz="1"/>
              <w:left w:val="single" w:color="C4B0FF" w:sz="1"/>
              <w:bottom w:val="single" w:color="C4B0FF" w:sz="1"/>
              <w:right w:val="single" w:color="C4B0FF" w:sz="1"/>
            </w:tcBorders>
            <w:shd w:fill="FFFFFF" w:val="clear"/>
            <w:tcMar>
              <w:top w:type="dxa" w:w="80"/>
              <w:left w:type="dxa" w:w="120"/>
              <w:bottom w:type="dxa" w:w="80"/>
              <w:right w:type="dxa" w:w="120"/>
            </w:tcMar>
          </w:tcPr>
          <w:p>
            <w:r>
              <w:rPr>
                <w:rFonts w:ascii="Arial" w:cs="Arial" w:eastAsia="Arial" w:hAnsi="Arial"/>
                <w:b w:val="false"/>
                <w:bCs w:val="false"/>
                <w:color w:val="222222"/>
                <w:sz w:val="20"/>
                <w:szCs w:val="20"/>
              </w:rPr>
              <w:t xml:space="preserve">Coinbase</w:t>
            </w:r>
          </w:p>
        </w:tc>
        <w:tc>
          <w:tcPr>
            <w:tcW w:type="dxa" w:w="2160"/>
            <w:tcBorders>
              <w:top w:val="single" w:color="C4B0FF" w:sz="1"/>
              <w:left w:val="single" w:color="C4B0FF" w:sz="1"/>
              <w:bottom w:val="single" w:color="C4B0FF" w:sz="1"/>
              <w:right w:val="single" w:color="C4B0FF" w:sz="1"/>
            </w:tcBorders>
            <w:shd w:fill="FFFFFF" w:val="clear"/>
            <w:tcMar>
              <w:top w:type="dxa" w:w="80"/>
              <w:left w:type="dxa" w:w="120"/>
              <w:bottom w:type="dxa" w:w="80"/>
              <w:right w:type="dxa" w:w="120"/>
            </w:tcMar>
          </w:tcPr>
          <w:p>
            <w:r>
              <w:rPr>
                <w:rFonts w:ascii="Arial" w:cs="Arial" w:eastAsia="Arial" w:hAnsi="Arial"/>
                <w:b w:val="false"/>
                <w:bCs w:val="false"/>
                <w:color w:val="222222"/>
                <w:sz w:val="20"/>
                <w:szCs w:val="20"/>
              </w:rPr>
              <w:t xml:space="preserve">Up to 2.5%</w:t>
            </w:r>
          </w:p>
        </w:tc>
        <w:tc>
          <w:tcPr>
            <w:tcW w:type="dxa" w:w="2160"/>
            <w:tcBorders>
              <w:top w:val="single" w:color="C4B0FF" w:sz="1"/>
              <w:left w:val="single" w:color="C4B0FF" w:sz="1"/>
              <w:bottom w:val="single" w:color="C4B0FF" w:sz="1"/>
              <w:right w:val="single" w:color="C4B0FF" w:sz="1"/>
            </w:tcBorders>
            <w:shd w:fill="FFFFFF" w:val="clear"/>
            <w:tcMar>
              <w:top w:type="dxa" w:w="80"/>
              <w:left w:type="dxa" w:w="120"/>
              <w:bottom w:type="dxa" w:w="80"/>
              <w:right w:type="dxa" w:w="120"/>
            </w:tcMar>
          </w:tcPr>
          <w:p>
            <w:r>
              <w:rPr>
                <w:rFonts w:ascii="Arial" w:cs="Arial" w:eastAsia="Arial" w:hAnsi="Arial"/>
                <w:b w:val="false"/>
                <w:bCs w:val="false"/>
                <w:color w:val="222222"/>
                <w:sz w:val="20"/>
                <w:szCs w:val="20"/>
              </w:rPr>
              <w:t xml:space="preserve">Yes</w:t>
            </w:r>
          </w:p>
        </w:tc>
        <w:tc>
          <w:tcPr>
            <w:tcW w:type="dxa" w:w="2160"/>
            <w:tcBorders>
              <w:top w:val="single" w:color="C4B0FF" w:sz="1"/>
              <w:left w:val="single" w:color="C4B0FF" w:sz="1"/>
              <w:bottom w:val="single" w:color="C4B0FF" w:sz="1"/>
              <w:right w:val="single" w:color="C4B0FF" w:sz="1"/>
            </w:tcBorders>
            <w:shd w:fill="FFFFFF" w:val="clear"/>
            <w:tcMar>
              <w:top w:type="dxa" w:w="80"/>
              <w:left w:type="dxa" w:w="120"/>
              <w:bottom w:type="dxa" w:w="80"/>
              <w:right w:type="dxa" w:w="120"/>
            </w:tcMar>
          </w:tcPr>
          <w:p>
            <w:r>
              <w:rPr>
                <w:rFonts w:ascii="Arial" w:cs="Arial" w:eastAsia="Arial" w:hAnsi="Arial"/>
                <w:b w:val="false"/>
                <w:bCs w:val="false"/>
                <w:color w:val="222222"/>
                <w:sz w:val="20"/>
                <w:szCs w:val="20"/>
              </w:rPr>
              <w:t xml:space="preserve">No</w:t>
            </w:r>
          </w:p>
        </w:tc>
      </w:tr>
      <w:tr>
        <w:tc>
          <w:tcPr>
            <w:tcW w:type="dxa" w:w="2880"/>
            <w:tcBorders>
              <w:top w:val="single" w:color="C4B0FF" w:sz="1"/>
              <w:left w:val="single" w:color="C4B0FF" w:sz="1"/>
              <w:bottom w:val="single" w:color="C4B0FF" w:sz="1"/>
              <w:right w:val="single" w:color="C4B0FF" w:sz="1"/>
            </w:tcBorders>
            <w:shd w:fill="F0EDFF" w:val="clear"/>
            <w:tcMar>
              <w:top w:type="dxa" w:w="80"/>
              <w:left w:type="dxa" w:w="120"/>
              <w:bottom w:type="dxa" w:w="80"/>
              <w:right w:type="dxa" w:w="120"/>
            </w:tcMar>
          </w:tcPr>
          <w:p>
            <w:r>
              <w:rPr>
                <w:rFonts w:ascii="Arial" w:cs="Arial" w:eastAsia="Arial" w:hAnsi="Arial"/>
                <w:b w:val="false"/>
                <w:bCs w:val="false"/>
                <w:color w:val="222222"/>
                <w:sz w:val="20"/>
                <w:szCs w:val="20"/>
              </w:rPr>
              <w:t xml:space="preserve">Cash App</w:t>
            </w:r>
          </w:p>
        </w:tc>
        <w:tc>
          <w:tcPr>
            <w:tcW w:type="dxa" w:w="2160"/>
            <w:tcBorders>
              <w:top w:val="single" w:color="C4B0FF" w:sz="1"/>
              <w:left w:val="single" w:color="C4B0FF" w:sz="1"/>
              <w:bottom w:val="single" w:color="C4B0FF" w:sz="1"/>
              <w:right w:val="single" w:color="C4B0FF" w:sz="1"/>
            </w:tcBorders>
            <w:shd w:fill="F0EDFF" w:val="clear"/>
            <w:tcMar>
              <w:top w:type="dxa" w:w="80"/>
              <w:left w:type="dxa" w:w="120"/>
              <w:bottom w:type="dxa" w:w="80"/>
              <w:right w:type="dxa" w:w="120"/>
            </w:tcMar>
          </w:tcPr>
          <w:p>
            <w:r>
              <w:rPr>
                <w:rFonts w:ascii="Arial" w:cs="Arial" w:eastAsia="Arial" w:hAnsi="Arial"/>
                <w:b w:val="false"/>
                <w:bCs w:val="false"/>
                <w:color w:val="222222"/>
                <w:sz w:val="20"/>
                <w:szCs w:val="20"/>
              </w:rPr>
              <w:t xml:space="preserve">1.75%</w:t>
            </w:r>
          </w:p>
        </w:tc>
        <w:tc>
          <w:tcPr>
            <w:tcW w:type="dxa" w:w="2160"/>
            <w:tcBorders>
              <w:top w:val="single" w:color="C4B0FF" w:sz="1"/>
              <w:left w:val="single" w:color="C4B0FF" w:sz="1"/>
              <w:bottom w:val="single" w:color="C4B0FF" w:sz="1"/>
              <w:right w:val="single" w:color="C4B0FF" w:sz="1"/>
            </w:tcBorders>
            <w:shd w:fill="F0EDFF" w:val="clear"/>
            <w:tcMar>
              <w:top w:type="dxa" w:w="80"/>
              <w:left w:type="dxa" w:w="120"/>
              <w:bottom w:type="dxa" w:w="80"/>
              <w:right w:type="dxa" w:w="120"/>
            </w:tcMar>
          </w:tcPr>
          <w:p>
            <w:r>
              <w:rPr>
                <w:rFonts w:ascii="Arial" w:cs="Arial" w:eastAsia="Arial" w:hAnsi="Arial"/>
                <w:b w:val="false"/>
                <w:bCs w:val="false"/>
                <w:color w:val="222222"/>
                <w:sz w:val="20"/>
                <w:szCs w:val="20"/>
              </w:rPr>
              <w:t xml:space="preserve">N/A</w:t>
            </w:r>
          </w:p>
        </w:tc>
        <w:tc>
          <w:tcPr>
            <w:tcW w:type="dxa" w:w="2160"/>
            <w:tcBorders>
              <w:top w:val="single" w:color="C4B0FF" w:sz="1"/>
              <w:left w:val="single" w:color="C4B0FF" w:sz="1"/>
              <w:bottom w:val="single" w:color="C4B0FF" w:sz="1"/>
              <w:right w:val="single" w:color="C4B0FF" w:sz="1"/>
            </w:tcBorders>
            <w:shd w:fill="F0EDFF" w:val="clear"/>
            <w:tcMar>
              <w:top w:type="dxa" w:w="80"/>
              <w:left w:type="dxa" w:w="120"/>
              <w:bottom w:type="dxa" w:w="80"/>
              <w:right w:type="dxa" w:w="120"/>
            </w:tcMar>
          </w:tcPr>
          <w:p>
            <w:r>
              <w:rPr>
                <w:rFonts w:ascii="Arial" w:cs="Arial" w:eastAsia="Arial" w:hAnsi="Arial"/>
                <w:b w:val="false"/>
                <w:bCs w:val="false"/>
                <w:color w:val="222222"/>
                <w:sz w:val="20"/>
                <w:szCs w:val="20"/>
              </w:rPr>
              <w:t xml:space="preserve">No</w:t>
            </w:r>
          </w:p>
        </w:tc>
      </w:tr>
      <w:tr>
        <w:tc>
          <w:tcPr>
            <w:tcW w:type="dxa" w:w="2880"/>
            <w:tcBorders>
              <w:top w:val="single" w:color="C4B0FF" w:sz="1"/>
              <w:left w:val="single" w:color="C4B0FF" w:sz="1"/>
              <w:bottom w:val="single" w:color="C4B0FF" w:sz="1"/>
              <w:right w:val="single" w:color="C4B0FF" w:sz="1"/>
            </w:tcBorders>
            <w:shd w:fill="FFFFFF" w:val="clear"/>
            <w:tcMar>
              <w:top w:type="dxa" w:w="80"/>
              <w:left w:type="dxa" w:w="120"/>
              <w:bottom w:type="dxa" w:w="80"/>
              <w:right w:type="dxa" w:w="120"/>
            </w:tcMar>
          </w:tcPr>
          <w:p>
            <w:r>
              <w:rPr>
                <w:rFonts w:ascii="Arial" w:cs="Arial" w:eastAsia="Arial" w:hAnsi="Arial"/>
                <w:b w:val="false"/>
                <w:bCs w:val="false"/>
                <w:color w:val="222222"/>
                <w:sz w:val="20"/>
                <w:szCs w:val="20"/>
              </w:rPr>
              <w:t xml:space="preserve">PayPal Crypto</w:t>
            </w:r>
          </w:p>
        </w:tc>
        <w:tc>
          <w:tcPr>
            <w:tcW w:type="dxa" w:w="2160"/>
            <w:tcBorders>
              <w:top w:val="single" w:color="C4B0FF" w:sz="1"/>
              <w:left w:val="single" w:color="C4B0FF" w:sz="1"/>
              <w:bottom w:val="single" w:color="C4B0FF" w:sz="1"/>
              <w:right w:val="single" w:color="C4B0FF" w:sz="1"/>
            </w:tcBorders>
            <w:shd w:fill="FFFFFF" w:val="clear"/>
            <w:tcMar>
              <w:top w:type="dxa" w:w="80"/>
              <w:left w:type="dxa" w:w="120"/>
              <w:bottom w:type="dxa" w:w="80"/>
              <w:right w:type="dxa" w:w="120"/>
            </w:tcMar>
          </w:tcPr>
          <w:p>
            <w:r>
              <w:rPr>
                <w:rFonts w:ascii="Arial" w:cs="Arial" w:eastAsia="Arial" w:hAnsi="Arial"/>
                <w:b w:val="false"/>
                <w:bCs w:val="false"/>
                <w:color w:val="222222"/>
                <w:sz w:val="20"/>
                <w:szCs w:val="20"/>
              </w:rPr>
              <w:t xml:space="preserve">Up to 3.49%</w:t>
            </w:r>
          </w:p>
        </w:tc>
        <w:tc>
          <w:tcPr>
            <w:tcW w:type="dxa" w:w="2160"/>
            <w:tcBorders>
              <w:top w:val="single" w:color="C4B0FF" w:sz="1"/>
              <w:left w:val="single" w:color="C4B0FF" w:sz="1"/>
              <w:bottom w:val="single" w:color="C4B0FF" w:sz="1"/>
              <w:right w:val="single" w:color="C4B0FF" w:sz="1"/>
            </w:tcBorders>
            <w:shd w:fill="FFFFFF" w:val="clear"/>
            <w:tcMar>
              <w:top w:type="dxa" w:w="80"/>
              <w:left w:type="dxa" w:w="120"/>
              <w:bottom w:type="dxa" w:w="80"/>
              <w:right w:type="dxa" w:w="120"/>
            </w:tcMar>
          </w:tcPr>
          <w:p>
            <w:r>
              <w:rPr>
                <w:rFonts w:ascii="Arial" w:cs="Arial" w:eastAsia="Arial" w:hAnsi="Arial"/>
                <w:b w:val="false"/>
                <w:bCs w:val="false"/>
                <w:color w:val="222222"/>
                <w:sz w:val="20"/>
                <w:szCs w:val="20"/>
              </w:rPr>
              <w:t xml:space="preserve">N/A</w:t>
            </w:r>
          </w:p>
        </w:tc>
        <w:tc>
          <w:tcPr>
            <w:tcW w:type="dxa" w:w="2160"/>
            <w:tcBorders>
              <w:top w:val="single" w:color="C4B0FF" w:sz="1"/>
              <w:left w:val="single" w:color="C4B0FF" w:sz="1"/>
              <w:bottom w:val="single" w:color="C4B0FF" w:sz="1"/>
              <w:right w:val="single" w:color="C4B0FF" w:sz="1"/>
            </w:tcBorders>
            <w:shd w:fill="FFFFFF" w:val="clear"/>
            <w:tcMar>
              <w:top w:type="dxa" w:w="80"/>
              <w:left w:type="dxa" w:w="120"/>
              <w:bottom w:type="dxa" w:w="80"/>
              <w:right w:type="dxa" w:w="120"/>
            </w:tcMar>
          </w:tcPr>
          <w:p>
            <w:r>
              <w:rPr>
                <w:rFonts w:ascii="Arial" w:cs="Arial" w:eastAsia="Arial" w:hAnsi="Arial"/>
                <w:b w:val="false"/>
                <w:bCs w:val="false"/>
                <w:color w:val="222222"/>
                <w:sz w:val="20"/>
                <w:szCs w:val="20"/>
              </w:rPr>
              <w:t xml:space="preserve">No</w:t>
            </w:r>
          </w:p>
        </w:tc>
      </w:tr>
      <w:tr>
        <w:tc>
          <w:tcPr>
            <w:tcW w:type="dxa" w:w="2880"/>
            <w:tcBorders>
              <w:top w:val="single" w:color="C4B0FF" w:sz="1"/>
              <w:left w:val="single" w:color="C4B0FF" w:sz="1"/>
              <w:bottom w:val="single" w:color="C4B0FF" w:sz="1"/>
              <w:right w:val="single" w:color="C4B0FF" w:sz="1"/>
            </w:tcBorders>
            <w:shd w:fill="F0EDFF" w:val="clear"/>
            <w:tcMar>
              <w:top w:type="dxa" w:w="80"/>
              <w:left w:type="dxa" w:w="120"/>
              <w:bottom w:type="dxa" w:w="80"/>
              <w:right w:type="dxa" w:w="120"/>
            </w:tcMar>
          </w:tcPr>
          <w:p>
            <w:r>
              <w:rPr>
                <w:rFonts w:ascii="Arial" w:cs="Arial" w:eastAsia="Arial" w:hAnsi="Arial"/>
                <w:b w:val="false"/>
                <w:bCs w:val="false"/>
                <w:color w:val="222222"/>
                <w:sz w:val="20"/>
                <w:szCs w:val="20"/>
              </w:rPr>
              <w:t xml:space="preserve">Phantom</w:t>
            </w:r>
          </w:p>
        </w:tc>
        <w:tc>
          <w:tcPr>
            <w:tcW w:type="dxa" w:w="2160"/>
            <w:tcBorders>
              <w:top w:val="single" w:color="C4B0FF" w:sz="1"/>
              <w:left w:val="single" w:color="C4B0FF" w:sz="1"/>
              <w:bottom w:val="single" w:color="C4B0FF" w:sz="1"/>
              <w:right w:val="single" w:color="C4B0FF" w:sz="1"/>
            </w:tcBorders>
            <w:shd w:fill="F0EDFF" w:val="clear"/>
            <w:tcMar>
              <w:top w:type="dxa" w:w="80"/>
              <w:left w:type="dxa" w:w="120"/>
              <w:bottom w:type="dxa" w:w="80"/>
              <w:right w:type="dxa" w:w="120"/>
            </w:tcMar>
          </w:tcPr>
          <w:p>
            <w:r>
              <w:rPr>
                <w:rFonts w:ascii="Arial" w:cs="Arial" w:eastAsia="Arial" w:hAnsi="Arial"/>
                <w:b w:val="false"/>
                <w:bCs w:val="false"/>
                <w:color w:val="222222"/>
                <w:sz w:val="20"/>
                <w:szCs w:val="20"/>
              </w:rPr>
              <w:t xml:space="preserve">0.85% + DEX fees</w:t>
            </w:r>
          </w:p>
        </w:tc>
        <w:tc>
          <w:tcPr>
            <w:tcW w:type="dxa" w:w="2160"/>
            <w:tcBorders>
              <w:top w:val="single" w:color="C4B0FF" w:sz="1"/>
              <w:left w:val="single" w:color="C4B0FF" w:sz="1"/>
              <w:bottom w:val="single" w:color="C4B0FF" w:sz="1"/>
              <w:right w:val="single" w:color="C4B0FF" w:sz="1"/>
            </w:tcBorders>
            <w:shd w:fill="F0EDFF" w:val="clear"/>
            <w:tcMar>
              <w:top w:type="dxa" w:w="80"/>
              <w:left w:type="dxa" w:w="120"/>
              <w:bottom w:type="dxa" w:w="80"/>
              <w:right w:type="dxa" w:w="120"/>
            </w:tcMar>
          </w:tcPr>
          <w:p>
            <w:r>
              <w:rPr>
                <w:rFonts w:ascii="Arial" w:cs="Arial" w:eastAsia="Arial" w:hAnsi="Arial"/>
                <w:b w:val="false"/>
                <w:bCs w:val="false"/>
                <w:color w:val="222222"/>
                <w:sz w:val="20"/>
                <w:szCs w:val="20"/>
              </w:rPr>
              <w:t xml:space="preserve">Yes</w:t>
            </w:r>
          </w:p>
        </w:tc>
        <w:tc>
          <w:tcPr>
            <w:tcW w:type="dxa" w:w="2160"/>
            <w:tcBorders>
              <w:top w:val="single" w:color="C4B0FF" w:sz="1"/>
              <w:left w:val="single" w:color="C4B0FF" w:sz="1"/>
              <w:bottom w:val="single" w:color="C4B0FF" w:sz="1"/>
              <w:right w:val="single" w:color="C4B0FF" w:sz="1"/>
            </w:tcBorders>
            <w:shd w:fill="F0EDFF" w:val="clear"/>
            <w:tcMar>
              <w:top w:type="dxa" w:w="80"/>
              <w:left w:type="dxa" w:w="120"/>
              <w:bottom w:type="dxa" w:w="80"/>
              <w:right w:type="dxa" w:w="120"/>
            </w:tcMar>
          </w:tcPr>
          <w:p>
            <w:r>
              <w:rPr>
                <w:rFonts w:ascii="Arial" w:cs="Arial" w:eastAsia="Arial" w:hAnsi="Arial"/>
                <w:b w:val="false"/>
                <w:bCs w:val="false"/>
                <w:color w:val="222222"/>
                <w:sz w:val="20"/>
                <w:szCs w:val="20"/>
              </w:rPr>
              <w:t xml:space="preserve">No</w:t>
            </w:r>
          </w:p>
        </w:tc>
      </w:tr>
      <w:tr>
        <w:tc>
          <w:tcPr>
            <w:tcW w:type="dxa" w:w="2880"/>
            <w:tcBorders>
              <w:top w:val="single" w:color="C4B0FF" w:sz="1"/>
              <w:left w:val="single" w:color="C4B0FF" w:sz="1"/>
              <w:bottom w:val="single" w:color="C4B0FF" w:sz="1"/>
              <w:right w:val="single" w:color="C4B0FF" w:sz="1"/>
            </w:tcBorders>
            <w:shd w:fill="4B2FB8" w:val="clear"/>
            <w:tcMar>
              <w:top w:type="dxa" w:w="80"/>
              <w:left w:type="dxa" w:w="120"/>
              <w:bottom w:type="dxa" w:w="80"/>
              <w:right w:type="dxa" w:w="120"/>
            </w:tcMar>
          </w:tcPr>
          <w:p>
            <w:r>
              <w:rPr>
                <w:rFonts w:ascii="Arial" w:cs="Arial" w:eastAsia="Arial" w:hAnsi="Arial"/>
                <w:b/>
                <w:bCs/>
                <w:color w:val="FFFFFF"/>
                <w:sz w:val="20"/>
                <w:szCs w:val="20"/>
              </w:rPr>
              <w:t xml:space="preserve">Velcro</w:t>
            </w:r>
          </w:p>
        </w:tc>
        <w:tc>
          <w:tcPr>
            <w:tcW w:type="dxa" w:w="2160"/>
            <w:tcBorders>
              <w:top w:val="single" w:color="C4B0FF" w:sz="1"/>
              <w:left w:val="single" w:color="C4B0FF" w:sz="1"/>
              <w:bottom w:val="single" w:color="C4B0FF" w:sz="1"/>
              <w:right w:val="single" w:color="C4B0FF" w:sz="1"/>
            </w:tcBorders>
            <w:shd w:fill="4B2FB8" w:val="clear"/>
            <w:tcMar>
              <w:top w:type="dxa" w:w="80"/>
              <w:left w:type="dxa" w:w="120"/>
              <w:bottom w:type="dxa" w:w="80"/>
              <w:right w:type="dxa" w:w="120"/>
            </w:tcMar>
          </w:tcPr>
          <w:p>
            <w:r>
              <w:rPr>
                <w:rFonts w:ascii="Arial" w:cs="Arial" w:eastAsia="Arial" w:hAnsi="Arial"/>
                <w:b/>
                <w:bCs/>
                <w:color w:val="FFFFFF"/>
                <w:sz w:val="20"/>
                <w:szCs w:val="20"/>
              </w:rPr>
              <w:t xml:space="preserve">&lt; 0.75%</w:t>
            </w:r>
          </w:p>
        </w:tc>
        <w:tc>
          <w:tcPr>
            <w:tcW w:type="dxa" w:w="2160"/>
            <w:tcBorders>
              <w:top w:val="single" w:color="C4B0FF" w:sz="1"/>
              <w:left w:val="single" w:color="C4B0FF" w:sz="1"/>
              <w:bottom w:val="single" w:color="C4B0FF" w:sz="1"/>
              <w:right w:val="single" w:color="C4B0FF" w:sz="1"/>
            </w:tcBorders>
            <w:shd w:fill="4B2FB8" w:val="clear"/>
            <w:tcMar>
              <w:top w:type="dxa" w:w="80"/>
              <w:left w:type="dxa" w:w="120"/>
              <w:bottom w:type="dxa" w:w="80"/>
              <w:right w:type="dxa" w:w="120"/>
            </w:tcMar>
          </w:tcPr>
          <w:p>
            <w:r>
              <w:rPr>
                <w:rFonts w:ascii="Arial" w:cs="Arial" w:eastAsia="Arial" w:hAnsi="Arial"/>
                <w:b/>
                <w:bCs/>
                <w:color w:val="FFFFFF"/>
                <w:sz w:val="20"/>
                <w:szCs w:val="20"/>
              </w:rPr>
              <w:t xml:space="preserve">Never</w:t>
            </w:r>
          </w:p>
        </w:tc>
        <w:tc>
          <w:tcPr>
            <w:tcW w:type="dxa" w:w="2160"/>
            <w:tcBorders>
              <w:top w:val="single" w:color="C4B0FF" w:sz="1"/>
              <w:left w:val="single" w:color="C4B0FF" w:sz="1"/>
              <w:bottom w:val="single" w:color="C4B0FF" w:sz="1"/>
              <w:right w:val="single" w:color="C4B0FF" w:sz="1"/>
            </w:tcBorders>
            <w:shd w:fill="4B2FB8" w:val="clear"/>
            <w:tcMar>
              <w:top w:type="dxa" w:w="80"/>
              <w:left w:type="dxa" w:w="120"/>
              <w:bottom w:type="dxa" w:w="80"/>
              <w:right w:type="dxa" w:w="120"/>
            </w:tcMar>
          </w:tcPr>
          <w:p>
            <w:r>
              <w:rPr>
                <w:rFonts w:ascii="Arial" w:cs="Arial" w:eastAsia="Arial" w:hAnsi="Arial"/>
                <w:b/>
                <w:bCs/>
                <w:color w:val="FFFFFF"/>
                <w:sz w:val="20"/>
                <w:szCs w:val="20"/>
              </w:rPr>
              <w:t xml:space="preserve">Yes</w:t>
            </w:r>
          </w:p>
        </w:tc>
      </w:tr>
    </w:tbl>
    <w:p>
      <w:pPr>
        <w:spacing w:before="0" w:after="120"/>
      </w:pPr>
      <w:r>
        <w:t xml:space="preserve"/>
      </w:r>
    </w:p>
    <w:p>
      <w:pPr>
        <w:spacing w:before="100" w:after="100"/>
      </w:pPr>
      <w:r>
        <w:rPr>
          <w:rFonts w:ascii="Arial" w:cs="Arial" w:eastAsia="Arial" w:hAnsi="Arial"/>
          <w:color w:val="222222"/>
          <w:sz w:val="22"/>
          <w:szCs w:val="22"/>
        </w:rPr>
        <w:t xml:space="preserve">At $10M in monthly trading volume — a conservative target for a product with genuine differentiation — a 0.75% spread generates $75,000 per month. At $100M volume: $750,000 per month. The gas costs we absorb are trivial by comparison: Solana at one million transactions costs approximately $50. EVM Layer 2 at one million transactions costs under $10,000.</w:t>
      </w:r>
    </w:p>
    <w:p>
      <w:pPr>
        <w:spacing w:before="0" w:after="120"/>
      </w:pPr>
      <w:r>
        <w:t xml:space="preserve"/>
      </w:r>
    </w:p>
    <w:p>
      <w:pPr>
        <w:spacing w:before="100" w:after="100"/>
      </w:pPr>
      <w:r>
        <w:rPr>
          <w:rFonts w:ascii="Arial" w:cs="Arial" w:eastAsia="Arial" w:hAnsi="Arial"/>
          <w:color w:val="222222"/>
          <w:sz w:val="22"/>
          <w:szCs w:val="22"/>
        </w:rPr>
        <w:t xml:space="preserve">Every dollar of revenue comes from users who are actively trading — which means our incentives are perfectly aligned with user activity. We make more when users trade more, save more, and send more. We do not profit when users lose. We do not profit from their data. We do not profit from their confusion.</w:t>
      </w:r>
    </w:p>
    <w:p>
      <w:pPr>
        <w:spacing w:before="0" w:after="120"/>
      </w:pPr>
      <w:r>
        <w:t xml:space="preserve"/>
      </w:r>
    </w:p>
    <w:p>
      <w:pPr>
        <w:pBdr>
          <w:left w:val="single" w:color="4B2FB8" w:sz="12" w:space="10"/>
          <w:right w:val="single" w:color="4B2FB8" w:sz="12" w:space="10"/>
        </w:pBdr>
        <w:spacing w:before="280" w:after="280"/>
        <w:ind w:left="480" w:right="480"/>
        <w:jc w:val="center"/>
      </w:pPr>
      <w:r>
        <w:rPr>
          <w:rFonts w:ascii="Arial" w:cs="Arial" w:eastAsia="Arial" w:hAnsi="Arial"/>
          <w:b/>
          <w:bCs/>
          <w:i/>
          <w:iCs/>
          <w:color w:val="2D1A8A"/>
          <w:sz w:val="26"/>
          <w:szCs w:val="26"/>
        </w:rPr>
        <w:t xml:space="preserve">The most ethical business model is also, over time, the most profitable one. Aligned incentives build trust. Trust builds retention. Retention builds the only moat that cannot be copied.</w:t>
      </w:r>
    </w:p>
    <w:p>
      <w:pPr>
        <w:spacing w:before="0" w:after="120"/>
      </w:pPr>
      <w:r>
        <w:t xml:space="preserve"/>
      </w:r>
    </w:p>
    <w:p>
      <w:pPr>
        <w:pBdr>
          <w:bottom w:val="single" w:color="9B7FE8" w:sz="2" w:space="1"/>
        </w:pBdr>
        <w:spacing w:before="240" w:after="240"/>
      </w:pPr>
      <w:r>
        <w:t xml:space="preserve"/>
      </w:r>
    </w:p>
    <w:p>
      <w:r>
        <w:br w:type="page"/>
      </w:r>
    </w:p>
    <w:p>
      <w:pPr>
        <w:pStyle w:val="Heading1"/>
        <w:pBdr>
          <w:bottom w:val="single" w:color="4B2FB8" w:sz="6" w:space="4"/>
        </w:pBdr>
        <w:spacing w:before="480" w:after="200"/>
      </w:pPr>
      <w:r>
        <w:rPr>
          <w:rFonts w:ascii="Arial" w:cs="Arial" w:eastAsia="Arial" w:hAnsi="Arial"/>
          <w:b/>
          <w:bCs/>
          <w:color w:val="2D1A8A"/>
          <w:sz w:val="34"/>
          <w:szCs w:val="34"/>
        </w:rPr>
        <w:t xml:space="preserve">VII.  Why This Is a Civil Rights Product</w:t>
      </w:r>
    </w:p>
    <w:p>
      <w:pPr>
        <w:spacing w:before="120" w:after="200"/>
      </w:pPr>
      <w:r>
        <w:rPr>
          <w:rFonts w:ascii="Arial" w:cs="Arial" w:eastAsia="Arial" w:hAnsi="Arial"/>
          <w:i/>
          <w:iCs/>
          <w:color w:val="6B4FD8"/>
          <w:sz w:val="24"/>
          <w:szCs w:val="24"/>
        </w:rPr>
        <w:t xml:space="preserve">Finance is infrastructure. Infrastructure is a civil right. We build accordingly.</w:t>
      </w:r>
    </w:p>
    <w:p>
      <w:pPr>
        <w:spacing w:before="100" w:after="100"/>
      </w:pPr>
      <w:r>
        <w:rPr>
          <w:rFonts w:ascii="Arial" w:cs="Arial" w:eastAsia="Arial" w:hAnsi="Arial"/>
          <w:color w:val="222222"/>
          <w:sz w:val="22"/>
          <w:szCs w:val="22"/>
        </w:rPr>
        <w:t xml:space="preserve">The internet was built in 1993 without civil rights protections, without privacy architecture, and without any framework for digital human dignity. The result — thirty years later — is surveillance capitalism, algorithmic discrimination, monopolistic platform control, and the systematic exclusion of the world's most vulnerable populations from the benefits of the digital economy.</w:t>
      </w:r>
    </w:p>
    <w:p>
      <w:pPr>
        <w:spacing w:before="0" w:after="120"/>
      </w:pPr>
      <w:r>
        <w:t xml:space="preserve"/>
      </w:r>
    </w:p>
    <w:p>
      <w:pPr>
        <w:spacing w:before="100" w:after="100"/>
      </w:pPr>
      <w:r>
        <w:rPr>
          <w:rFonts w:ascii="Arial" w:cs="Arial" w:eastAsia="Arial" w:hAnsi="Arial"/>
          <w:color w:val="222222"/>
          <w:sz w:val="22"/>
          <w:szCs w:val="22"/>
        </w:rPr>
        <w:t xml:space="preserve">Web3 has the opportunity to be different. But only if the builders choose to make it different. Infrastructure built without values is always colonized by the most extractive interests available. We have seen this once. We cannot afford to see it again.</w:t>
      </w:r>
    </w:p>
    <w:p>
      <w:pPr>
        <w:spacing w:before="0" w:after="120"/>
      </w:pPr>
      <w:r>
        <w:t xml:space="preserve"/>
      </w:r>
    </w:p>
    <w:p>
      <w:pPr>
        <w:spacing w:before="100" w:after="100"/>
      </w:pPr>
      <w:r>
        <w:rPr>
          <w:rFonts w:ascii="Arial" w:cs="Arial" w:eastAsia="Arial" w:hAnsi="Arial"/>
          <w:color w:val="222222"/>
          <w:sz w:val="22"/>
          <w:szCs w:val="22"/>
        </w:rPr>
        <w:t xml:space="preserve">Velcro is built with the following civil rights principles encoded at the architectural level — not as policies, not as terms of service, but as structural impossibilities:</w:t>
      </w:r>
    </w:p>
    <w:p>
      <w:pPr>
        <w:spacing w:before="0" w:after="120"/>
      </w:pPr>
      <w:r>
        <w:t xml:space="preserve"/>
      </w:r>
    </w:p>
    <w:p>
      <w:pPr>
        <w:pStyle w:val="ListParagraph"/>
        <w:numPr>
          <w:ilvl w:val="0"/>
          <w:numId w:val="2"/>
        </w:numPr>
        <w:spacing w:before="60" w:after="60"/>
      </w:pPr>
      <w:r>
        <w:rPr>
          <w:rFonts w:ascii="Arial" w:cs="Arial" w:eastAsia="Arial" w:hAnsi="Arial"/>
          <w:b/>
          <w:bCs/>
          <w:color w:val="4B2FB8"/>
          <w:sz w:val="22"/>
          <w:szCs w:val="22"/>
        </w:rPr>
        <w:t xml:space="preserve">Your keys never leave your device. No server holds your funds. No company can surveil your transactions. This is not a privacy policy — it is a technical fact. </w:t>
      </w:r>
      <w:r>
        <w:rPr>
          <w:rFonts w:ascii="Arial" w:cs="Arial" w:eastAsia="Arial" w:hAnsi="Arial"/>
          <w:color w:val="222222"/>
          <w:sz w:val="22"/>
          <w:szCs w:val="22"/>
        </w:rPr>
        <w:t xml:space="preserve">Privacy by architecture.</w:t>
      </w:r>
    </w:p>
    <w:p>
      <w:pPr>
        <w:pStyle w:val="ListParagraph"/>
        <w:numPr>
          <w:ilvl w:val="0"/>
          <w:numId w:val="2"/>
        </w:numPr>
        <w:spacing w:before="60" w:after="60"/>
      </w:pPr>
      <w:r>
        <w:rPr>
          <w:rFonts w:ascii="Arial" w:cs="Arial" w:eastAsia="Arial" w:hAnsi="Arial"/>
          <w:b/>
          <w:bCs/>
          <w:color w:val="4B2FB8"/>
          <w:sz w:val="22"/>
          <w:szCs w:val="22"/>
        </w:rPr>
        <w:t xml:space="preserve">Your on-chain contacts are yours. Your transaction history is yours. Your identity is yours. The social graph you build in Velcro travels with you if you ever leave. Platform lock-in is architecturally prevented. </w:t>
      </w:r>
      <w:r>
        <w:rPr>
          <w:rFonts w:ascii="Arial" w:cs="Arial" w:eastAsia="Arial" w:hAnsi="Arial"/>
          <w:color w:val="222222"/>
          <w:sz w:val="22"/>
          <w:szCs w:val="22"/>
        </w:rPr>
        <w:t xml:space="preserve">Ownership by design.</w:t>
      </w:r>
    </w:p>
    <w:p>
      <w:pPr>
        <w:pStyle w:val="ListParagraph"/>
        <w:numPr>
          <w:ilvl w:val="0"/>
          <w:numId w:val="2"/>
        </w:numPr>
        <w:spacing w:before="60" w:after="60"/>
      </w:pPr>
      <w:r>
        <w:rPr>
          <w:rFonts w:ascii="Arial" w:cs="Arial" w:eastAsia="Arial" w:hAnsi="Arial"/>
          <w:b/>
          <w:bCs/>
          <w:color w:val="4B2FB8"/>
          <w:sz w:val="22"/>
          <w:szCs w:val="22"/>
        </w:rPr>
        <w:t xml:space="preserve">The language toggle is not an accessibility feature added for compliance. It is a founding design principle. The unbanked market is not a future consideration. It is in the architecture from the first commit. </w:t>
      </w:r>
      <w:r>
        <w:rPr>
          <w:rFonts w:ascii="Arial" w:cs="Arial" w:eastAsia="Arial" w:hAnsi="Arial"/>
          <w:color w:val="222222"/>
          <w:sz w:val="22"/>
          <w:szCs w:val="22"/>
        </w:rPr>
        <w:t xml:space="preserve">Inclusion from day one.</w:t>
      </w:r>
    </w:p>
    <w:p>
      <w:pPr>
        <w:pStyle w:val="ListParagraph"/>
        <w:numPr>
          <w:ilvl w:val="0"/>
          <w:numId w:val="2"/>
        </w:numPr>
        <w:spacing w:before="60" w:after="60"/>
      </w:pPr>
      <w:r>
        <w:rPr>
          <w:rFonts w:ascii="Arial" w:cs="Arial" w:eastAsia="Arial" w:hAnsi="Arial"/>
          <w:b/>
          <w:bCs/>
          <w:color w:val="4B2FB8"/>
          <w:sz w:val="22"/>
          <w:szCs w:val="22"/>
        </w:rPr>
        <w:t xml:space="preserve">We show you our spread. We show you the raw market price. We show you what a transaction will do before you sign it. Opacity is how extraction hides. We remove it structurally. </w:t>
      </w:r>
      <w:r>
        <w:rPr>
          <w:rFonts w:ascii="Arial" w:cs="Arial" w:eastAsia="Arial" w:hAnsi="Arial"/>
          <w:color w:val="222222"/>
          <w:sz w:val="22"/>
          <w:szCs w:val="22"/>
        </w:rPr>
        <w:t xml:space="preserve">Transparency over extraction.</w:t>
      </w:r>
    </w:p>
    <w:p>
      <w:pPr>
        <w:spacing w:before="0" w:after="120"/>
      </w:pPr>
      <w:r>
        <w:t xml:space="preserve"/>
      </w:r>
    </w:p>
    <w:p>
      <w:pPr>
        <w:spacing w:before="100" w:after="100"/>
      </w:pPr>
      <w:r>
        <w:rPr>
          <w:rFonts w:ascii="Arial" w:cs="Arial" w:eastAsia="Arial" w:hAnsi="Arial"/>
          <w:color w:val="222222"/>
          <w:sz w:val="22"/>
          <w:szCs w:val="22"/>
        </w:rPr>
        <w:t xml:space="preserve">These are not idealistic aspirations. They are engineering decisions. And they are what make Velcro a categorically different product — not just a better wallet.</w:t>
      </w:r>
    </w:p>
    <w:p>
      <w:pPr>
        <w:spacing w:before="0" w:after="120"/>
      </w:pPr>
      <w:r>
        <w:t xml:space="preserve"/>
      </w:r>
    </w:p>
    <w:p>
      <w:pPr>
        <w:pBdr>
          <w:bottom w:val="single" w:color="9B7FE8" w:sz="2" w:space="1"/>
        </w:pBdr>
        <w:spacing w:before="240" w:after="240"/>
      </w:pPr>
      <w:r>
        <w:t xml:space="preserve"/>
      </w:r>
    </w:p>
    <w:p>
      <w:r>
        <w:br w:type="page"/>
      </w:r>
    </w:p>
    <w:p>
      <w:pPr>
        <w:pStyle w:val="Heading1"/>
        <w:pBdr>
          <w:bottom w:val="single" w:color="4B2FB8" w:sz="6" w:space="4"/>
        </w:pBdr>
        <w:spacing w:before="480" w:after="200"/>
      </w:pPr>
      <w:r>
        <w:rPr>
          <w:rFonts w:ascii="Arial" w:cs="Arial" w:eastAsia="Arial" w:hAnsi="Arial"/>
          <w:b/>
          <w:bCs/>
          <w:color w:val="2D1A8A"/>
          <w:sz w:val="34"/>
          <w:szCs w:val="34"/>
        </w:rPr>
        <w:t xml:space="preserve">VIII.  The Ecosystem — Hook. Loop. Hold.</w:t>
      </w:r>
    </w:p>
    <w:p>
      <w:pPr>
        <w:spacing w:before="120" w:after="200"/>
      </w:pPr>
      <w:r>
        <w:rPr>
          <w:rFonts w:ascii="Arial" w:cs="Arial" w:eastAsia="Arial" w:hAnsi="Arial"/>
          <w:i/>
          <w:iCs/>
          <w:color w:val="6B4FD8"/>
          <w:sz w:val="24"/>
          <w:szCs w:val="24"/>
        </w:rPr>
        <w:t xml:space="preserve">Velcro is not a standalone product. It is the anchor of a three-product ecosystem built on a shared philosophy.</w:t>
      </w:r>
    </w:p>
    <w:p>
      <w:pPr>
        <w:spacing w:before="100" w:after="100"/>
      </w:pPr>
      <w:r>
        <w:rPr>
          <w:rFonts w:ascii="Arial" w:cs="Arial" w:eastAsia="Arial" w:hAnsi="Arial"/>
          <w:color w:val="222222"/>
          <w:sz w:val="22"/>
          <w:szCs w:val="22"/>
        </w:rPr>
        <w:t>Vela Protocol — the developer hub for Velcro Wallet and future related AI and Web3 projects — is the broader platform. Three products, each self-sustaining, each feeding the next.</w:t>
      </w:r>
    </w:p>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80"/>
        <w:gridCol w:w="9180"/>
      </w:tblGrid>
      <w:tr>
        <w:tc>
          <w:tcPr>
            <w:tcW w:type="dxa" w:w="180"/>
            <w:tcBorders>
              <w:top w:val="none" w:color="FFFFFF" w:sz="0"/>
              <w:left w:val="none" w:color="FFFFFF" w:sz="0"/>
              <w:bottom w:val="none" w:color="FFFFFF" w:sz="0"/>
              <w:right w:val="none" w:color="FFFFFF" w:sz="0"/>
            </w:tcBorders>
            <w:shd w:fill="2D1A8A" w:val="clear"/>
          </w:tcPr>
          <w:p>
            <w:r>
              <w:t xml:space="preserve"/>
            </w:r>
          </w:p>
        </w:tc>
        <w:tc>
          <w:tcPr>
            <w:tcW w:type="dxa" w:w="9180"/>
            <w:tcBorders>
              <w:top w:val="none" w:color="FFFFFF" w:sz="0"/>
              <w:left w:val="none" w:color="FFFFFF" w:sz="0"/>
              <w:bottom w:val="none" w:color="FFFFFF" w:sz="0"/>
              <w:right w:val="none" w:color="FFFFFF" w:sz="0"/>
            </w:tcBorders>
            <w:shd w:fill="F0EDFF" w:val="clear"/>
            <w:tcMar>
              <w:top w:type="dxa" w:w="120"/>
              <w:left w:type="dxa" w:w="240"/>
              <w:bottom w:type="dxa" w:w="120"/>
              <w:right w:type="dxa" w:w="160"/>
            </w:tcMar>
          </w:tcPr>
          <w:p>
            <w:pPr>
              <w:spacing w:after="60"/>
            </w:pPr>
            <w:r>
              <w:rPr>
                <w:rFonts w:ascii="Arial" w:cs="Arial" w:eastAsia="Arial" w:hAnsi="Arial"/>
                <w:b/>
                <w:bCs/>
                <w:color w:val="2D1A8A"/>
                <w:sz w:val="20"/>
                <w:szCs w:val="20"/>
              </w:rPr>
              <w:t>Vela Protocol Search Engine</w:t>
            </w:r>
          </w:p>
          <w:p>
            <w:r>
              <w:rPr>
                <w:rFonts w:ascii="Arial" w:cs="Arial" w:eastAsia="Arial" w:hAnsi="Arial"/>
                <w:color w:val="333333"/>
                <w:sz w:val="20"/>
                <w:szCs w:val="20"/>
              </w:rPr>
              <w:t xml:space="preserve">A privacy-first search engine that builds the initial user base and establishes the brand. Free. No tracking. No advertising. 10,000 daily users is the milestone before wallet launch. The search engine creates the community that trusts Velcro before it ships.</w:t>
            </w:r>
          </w:p>
        </w:tc>
      </w:tr>
    </w:tbl>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80"/>
        <w:gridCol w:w="9180"/>
      </w:tblGrid>
      <w:tr>
        <w:tc>
          <w:tcPr>
            <w:tcW w:type="dxa" w:w="180"/>
            <w:tcBorders>
              <w:top w:val="none" w:color="FFFFFF" w:sz="0"/>
              <w:left w:val="none" w:color="FFFFFF" w:sz="0"/>
              <w:bottom w:val="none" w:color="FFFFFF" w:sz="0"/>
              <w:right w:val="none" w:color="FFFFFF" w:sz="0"/>
            </w:tcBorders>
            <w:shd w:fill="4B2FB8" w:val="clear"/>
          </w:tcPr>
          <w:p>
            <w:r>
              <w:t xml:space="preserve"/>
            </w:r>
          </w:p>
        </w:tc>
        <w:tc>
          <w:tcPr>
            <w:tcW w:type="dxa" w:w="9180"/>
            <w:tcBorders>
              <w:top w:val="none" w:color="FFFFFF" w:sz="0"/>
              <w:left w:val="none" w:color="FFFFFF" w:sz="0"/>
              <w:bottom w:val="none" w:color="FFFFFF" w:sz="0"/>
              <w:right w:val="none" w:color="FFFFFF" w:sz="0"/>
            </w:tcBorders>
            <w:shd w:fill="F0EDFF" w:val="clear"/>
            <w:tcMar>
              <w:top w:type="dxa" w:w="120"/>
              <w:left w:type="dxa" w:w="240"/>
              <w:bottom w:type="dxa" w:w="120"/>
              <w:right w:type="dxa" w:w="160"/>
            </w:tcMar>
          </w:tcPr>
          <w:p>
            <w:pPr>
              <w:spacing w:after="60"/>
            </w:pPr>
            <w:r>
              <w:rPr>
                <w:rFonts w:ascii="Arial" w:cs="Arial" w:eastAsia="Arial" w:hAnsi="Arial"/>
                <w:b/>
                <w:bCs/>
                <w:color w:val="4B2FB8"/>
                <w:sz w:val="20"/>
                <w:szCs w:val="20"/>
              </w:rPr>
              <w:t xml:space="preserve">Vela — Social Assistant</w:t>
            </w:r>
          </w:p>
          <w:p>
            <w:r>
              <w:rPr>
                <w:rFonts w:ascii="Arial" w:cs="Arial" w:eastAsia="Arial" w:hAnsi="Arial"/>
                <w:color w:val="333333"/>
                <w:sz w:val="20"/>
                <w:szCs w:val="20"/>
              </w:rPr>
              <w:t xml:space="preserve">A privacy-first AI social assistant at €9/month. The first revenue product. 300 subscribers funds wallet legal costs. 500 subscribers funds the security audit. Vela subscribers are Velcro’s first early adopters — they already trust the brand before the wallet launches.</w:t>
            </w:r>
          </w:p>
        </w:tc>
      </w:tr>
    </w:tbl>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80"/>
        <w:gridCol w:w="9180"/>
      </w:tblGrid>
      <w:tr>
        <w:tc>
          <w:tcPr>
            <w:tcW w:type="dxa" w:w="180"/>
            <w:tcBorders>
              <w:top w:val="none" w:color="FFFFFF" w:sz="0"/>
              <w:left w:val="none" w:color="FFFFFF" w:sz="0"/>
              <w:bottom w:val="none" w:color="FFFFFF" w:sz="0"/>
              <w:right w:val="none" w:color="FFFFFF" w:sz="0"/>
            </w:tcBorders>
            <w:shd w:fill="6B4FD8" w:val="clear"/>
          </w:tcPr>
          <w:p>
            <w:r>
              <w:t xml:space="preserve"/>
            </w:r>
          </w:p>
        </w:tc>
        <w:tc>
          <w:tcPr>
            <w:tcW w:type="dxa" w:w="9180"/>
            <w:tcBorders>
              <w:top w:val="none" w:color="FFFFFF" w:sz="0"/>
              <w:left w:val="none" w:color="FFFFFF" w:sz="0"/>
              <w:bottom w:val="none" w:color="FFFFFF" w:sz="0"/>
              <w:right w:val="none" w:color="FFFFFF" w:sz="0"/>
            </w:tcBorders>
            <w:shd w:fill="F0EDFF" w:val="clear"/>
            <w:tcMar>
              <w:top w:type="dxa" w:w="120"/>
              <w:left w:type="dxa" w:w="240"/>
              <w:bottom w:type="dxa" w:w="120"/>
              <w:right w:type="dxa" w:w="160"/>
            </w:tcMar>
          </w:tcPr>
          <w:p>
            <w:pPr>
              <w:spacing w:after="60"/>
            </w:pPr>
            <w:r>
              <w:rPr>
                <w:rFonts w:ascii="Arial" w:cs="Arial" w:eastAsia="Arial" w:hAnsi="Arial"/>
                <w:b/>
                <w:bCs/>
                <w:color w:val="6B4FD8"/>
                <w:sz w:val="20"/>
                <w:szCs w:val="20"/>
              </w:rPr>
              <w:t xml:space="preserve">Velcro Wallet</w:t>
            </w:r>
          </w:p>
          <w:p>
            <w:r>
              <w:rPr>
                <w:rFonts w:ascii="Arial" w:cs="Arial" w:eastAsia="Arial" w:hAnsi="Arial"/>
                <w:color w:val="333333"/>
                <w:sz w:val="20"/>
                <w:szCs w:val="20"/>
              </w:rPr>
              <w:t>The primary long-term revenue engine. Peer-to-peer, non-custodial, AI-coordinated, free forever. Funded by Vela, launched to the Vela Protocol community, secured by a third-party security audit before any public release.</w:t>
            </w:r>
          </w:p>
        </w:tc>
      </w:tr>
    </w:tbl>
    <w:p>
      <w:pPr>
        <w:spacing w:before="0" w:after="120"/>
      </w:pPr>
      <w:r>
        <w:t xml:space="preserve"/>
      </w:r>
    </w:p>
    <w:p>
      <w:pPr>
        <w:spacing w:before="100" w:after="100"/>
      </w:pPr>
      <w:r>
        <w:rPr>
          <w:rFonts w:ascii="Arial" w:cs="Arial" w:eastAsia="Arial" w:hAnsi="Arial"/>
          <w:color w:val="222222"/>
          <w:sz w:val="22"/>
          <w:szCs w:val="22"/>
        </w:rPr>
        <w:t xml:space="preserve">The three products reinforce each other: search builds users, Vela builds revenue and trust, Velcro builds the financial relationship. Each product makes the next one easier to launch and harder to compete with.</w:t>
      </w:r>
    </w:p>
    <w:p>
      <w:pPr>
        <w:spacing w:before="0" w:after="120"/>
      </w:pPr>
      <w:r>
        <w:t xml:space="preserve"/>
      </w:r>
    </w:p>
    <w:p>
      <w:pPr>
        <w:pBdr>
          <w:bottom w:val="single" w:color="9B7FE8" w:sz="2" w:space="1"/>
        </w:pBdr>
        <w:spacing w:before="240" w:after="240"/>
      </w:pPr>
      <w:r>
        <w:t xml:space="preserve"/>
      </w:r>
    </w:p>
    <w:p>
      <w:r>
        <w:br w:type="page"/>
      </w:r>
    </w:p>
    <w:p>
      <w:pPr>
        <w:pStyle w:val="Heading1"/>
        <w:pBdr>
          <w:bottom w:val="single" w:color="4B2FB8" w:sz="6" w:space="4"/>
        </w:pBdr>
        <w:spacing w:before="480" w:after="200"/>
      </w:pPr>
      <w:r>
        <w:rPr>
          <w:rFonts w:ascii="Arial" w:cs="Arial" w:eastAsia="Arial" w:hAnsi="Arial"/>
          <w:b/>
          <w:bCs/>
          <w:color w:val="2D1A8A"/>
          <w:sz w:val="34"/>
          <w:szCs w:val="34"/>
        </w:rPr>
        <w:t xml:space="preserve">IX.  What We Are Building Toward</w:t>
      </w:r>
    </w:p>
    <w:p>
      <w:pPr>
        <w:spacing w:before="120" w:after="200"/>
      </w:pPr>
      <w:r>
        <w:rPr>
          <w:rFonts w:ascii="Arial" w:cs="Arial" w:eastAsia="Arial" w:hAnsi="Arial"/>
          <w:i/>
          <w:iCs/>
          <w:color w:val="6B4FD8"/>
          <w:sz w:val="24"/>
          <w:szCs w:val="24"/>
        </w:rPr>
        <w:t xml:space="preserve">The window to build crypto infrastructure with values at the foundation is open. It will not stay open forever.</w:t>
      </w:r>
    </w:p>
    <w:p>
      <w:pPr>
        <w:spacing w:before="100" w:after="100"/>
      </w:pPr>
      <w:r>
        <w:rPr>
          <w:rFonts w:ascii="Arial" w:cs="Arial" w:eastAsia="Arial" w:hAnsi="Arial"/>
          <w:color w:val="222222"/>
          <w:sz w:val="22"/>
          <w:szCs w:val="22"/>
        </w:rPr>
        <w:t xml:space="preserve">The regulatory environment for crypto is clarifying. The technology is maturing. The user base is ready for the next generation of products. The question is not whether a wallet like Velcro will be built. It is who will build it and whether they will build it right.</w:t>
      </w:r>
    </w:p>
    <w:p>
      <w:pPr>
        <w:spacing w:before="0" w:after="120"/>
      </w:pPr>
      <w:r>
        <w:t xml:space="preserve"/>
      </w:r>
    </w:p>
    <w:p>
      <w:pPr>
        <w:spacing w:before="100" w:after="100"/>
      </w:pPr>
      <w:r>
        <w:rPr>
          <w:rFonts w:ascii="Arial" w:cs="Arial" w:eastAsia="Arial" w:hAnsi="Arial"/>
          <w:color w:val="222222"/>
          <w:sz w:val="22"/>
          <w:szCs w:val="22"/>
        </w:rPr>
        <w:t xml:space="preserve">We are building it right. We are building it with:</w:t>
      </w:r>
    </w:p>
    <w:p>
      <w:pPr>
        <w:spacing w:before="0" w:after="120"/>
      </w:pPr>
      <w:r>
        <w:t xml:space="preserve"/>
      </w:r>
    </w:p>
    <w:p>
      <w:pPr>
        <w:pStyle w:val="ListParagraph"/>
        <w:numPr>
          <w:ilvl w:val="0"/>
          <w:numId w:val="2"/>
        </w:numPr>
        <w:spacing w:before="60" w:after="60"/>
      </w:pPr>
      <w:r>
        <w:rPr>
          <w:rFonts w:ascii="Arial" w:cs="Arial" w:eastAsia="Arial" w:hAnsi="Arial"/>
          <w:color w:val="222222"/>
          <w:sz w:val="22"/>
          <w:szCs w:val="22"/>
        </w:rPr>
        <w:t xml:space="preserve">A non-custodial architecture that makes user sovereignty a technical fact, not a promise</w:t>
      </w:r>
    </w:p>
    <w:p>
      <w:pPr>
        <w:pStyle w:val="ListParagraph"/>
        <w:numPr>
          <w:ilvl w:val="0"/>
          <w:numId w:val="2"/>
        </w:numPr>
        <w:spacing w:before="60" w:after="60"/>
      </w:pPr>
      <w:r>
        <w:rPr>
          <w:rFonts w:ascii="Arial" w:cs="Arial" w:eastAsia="Arial" w:hAnsi="Arial"/>
          <w:color w:val="222222"/>
          <w:sz w:val="22"/>
          <w:szCs w:val="22"/>
        </w:rPr>
        <w:t xml:space="preserve">A six-agent AI coordination stack that makes every user safer and smarter</w:t>
      </w:r>
    </w:p>
    <w:p>
      <w:pPr>
        <w:pStyle w:val="ListParagraph"/>
        <w:numPr>
          <w:ilvl w:val="0"/>
          <w:numId w:val="2"/>
        </w:numPr>
        <w:spacing w:before="60" w:after="60"/>
      </w:pPr>
      <w:r>
        <w:rPr>
          <w:rFonts w:ascii="Arial" w:cs="Arial" w:eastAsia="Arial" w:hAnsi="Arial"/>
          <w:color w:val="222222"/>
          <w:sz w:val="22"/>
          <w:szCs w:val="22"/>
        </w:rPr>
        <w:t xml:space="preserve">A language system that makes crypto genuinely accessible to anyone</w:t>
      </w:r>
    </w:p>
    <w:p>
      <w:pPr>
        <w:pStyle w:val="ListParagraph"/>
        <w:numPr>
          <w:ilvl w:val="0"/>
          <w:numId w:val="2"/>
        </w:numPr>
        <w:spacing w:before="60" w:after="60"/>
      </w:pPr>
      <w:r>
        <w:rPr>
          <w:rFonts w:ascii="Arial" w:cs="Arial" w:eastAsia="Arial" w:hAnsi="Arial"/>
          <w:color w:val="222222"/>
          <w:sz w:val="22"/>
          <w:szCs w:val="22"/>
        </w:rPr>
        <w:t xml:space="preserve">A business model aligned with user success rather than user extraction</w:t>
      </w:r>
    </w:p>
    <w:p>
      <w:pPr>
        <w:pStyle w:val="ListParagraph"/>
        <w:numPr>
          <w:ilvl w:val="0"/>
          <w:numId w:val="2"/>
        </w:numPr>
        <w:spacing w:before="60" w:after="60"/>
      </w:pPr>
      <w:r>
        <w:rPr>
          <w:rFonts w:ascii="Arial" w:cs="Arial" w:eastAsia="Arial" w:hAnsi="Arial"/>
          <w:color w:val="222222"/>
          <w:sz w:val="22"/>
          <w:szCs w:val="22"/>
        </w:rPr>
        <w:t xml:space="preserve">An on-chain contact layer that gives users ownership of their own social graph</w:t>
      </w:r>
    </w:p>
    <w:p>
      <w:pPr>
        <w:pStyle w:val="ListParagraph"/>
        <w:numPr>
          <w:ilvl w:val="0"/>
          <w:numId w:val="2"/>
        </w:numPr>
        <w:spacing w:before="60" w:after="60"/>
      </w:pPr>
      <w:r>
        <w:rPr>
          <w:rFonts w:ascii="Arial" w:cs="Arial" w:eastAsia="Arial" w:hAnsi="Arial"/>
          <w:color w:val="222222"/>
          <w:sz w:val="22"/>
          <w:szCs w:val="22"/>
        </w:rPr>
        <w:t xml:space="preserve">A zero-gas-fee user experience that removes the single biggest UX barrier in crypto</w:t>
      </w:r>
    </w:p>
    <w:p>
      <w:pPr>
        <w:pStyle w:val="ListParagraph"/>
        <w:numPr>
          <w:ilvl w:val="0"/>
          <w:numId w:val="2"/>
        </w:numPr>
        <w:spacing w:before="60" w:after="60"/>
      </w:pPr>
      <w:r>
        <w:rPr>
          <w:rFonts w:ascii="Arial" w:cs="Arial" w:eastAsia="Arial" w:hAnsi="Arial"/>
          <w:color w:val="222222"/>
          <w:sz w:val="22"/>
          <w:szCs w:val="22"/>
        </w:rPr>
        <w:t xml:space="preserve">A transparency model that shows users exactly what we earn and exactly what they pay</w:t>
      </w:r>
    </w:p>
    <w:p>
      <w:pPr>
        <w:pStyle w:val="ListParagraph"/>
        <w:numPr>
          <w:ilvl w:val="0"/>
          <w:numId w:val="2"/>
        </w:numPr>
        <w:spacing w:before="60" w:after="60"/>
      </w:pPr>
      <w:r>
        <w:rPr>
          <w:rFonts w:ascii="Arial" w:cs="Arial" w:eastAsia="Arial" w:hAnsi="Arial"/>
          <w:color w:val="222222"/>
          <w:sz w:val="22"/>
          <w:szCs w:val="22"/>
        </w:rPr>
        <w:t xml:space="preserve">A civil rights architecture that encodes human dignity at the protocol level</w:t>
      </w:r>
    </w:p>
    <w:p>
      <w:pPr>
        <w:spacing w:before="0" w:after="120"/>
      </w:pPr>
      <w:r>
        <w:t xml:space="preserve"/>
      </w:r>
    </w:p>
    <w:p>
      <w:pPr>
        <w:spacing w:before="100" w:after="100"/>
      </w:pPr>
      <w:r>
        <w:rPr>
          <w:rFonts w:ascii="Arial" w:cs="Arial" w:eastAsia="Arial" w:hAnsi="Arial"/>
          <w:color w:val="222222"/>
          <w:sz w:val="22"/>
          <w:szCs w:val="22"/>
        </w:rPr>
        <w:t>And we are building it within an ecosystem — Vela Protocol Search, Vela, Velcro — that creates a self-reinforcing community of users who trust us before we ask them to trust us with their money.</w:t>
      </w:r>
    </w:p>
    <w:p>
      <w:pPr>
        <w:spacing w:before="0" w:after="120"/>
      </w:pPr>
      <w:r>
        <w:t xml:space="preserve"/>
      </w:r>
    </w:p>
    <w:p>
      <w:pPr>
        <w:pBdr>
          <w:left w:val="single" w:color="4B2FB8" w:sz="12" w:space="10"/>
          <w:right w:val="single" w:color="4B2FB8" w:sz="12" w:space="10"/>
        </w:pBdr>
        <w:spacing w:before="280" w:after="280"/>
        <w:ind w:left="480" w:right="480"/>
        <w:jc w:val="center"/>
      </w:pPr>
      <w:r>
        <w:rPr>
          <w:rFonts w:ascii="Arial" w:cs="Arial" w:eastAsia="Arial" w:hAnsi="Arial"/>
          <w:b/>
          <w:bCs/>
          <w:i/>
          <w:iCs/>
          <w:color w:val="2D1A8A"/>
          <w:sz w:val="26"/>
          <w:szCs w:val="26"/>
        </w:rPr>
        <w:t xml:space="preserve">Hook. Loop. Hold. — We connect the financial worlds that have been kept separate. We bind crypto and traditional finance together seamlessly. And we hold your assets, your identity, and your trust with a grip that does not let go.</w:t>
      </w:r>
    </w:p>
    <w:p>
      <w:pPr>
        <w:spacing w:before="0" w:after="120"/>
      </w:pPr>
      <w:r>
        <w:t xml:space="preserve"/>
      </w:r>
    </w:p>
    <w:p>
      <w:pPr>
        <w:pBdr>
          <w:bottom w:val="single" w:color="9B7FE8" w:sz="2" w:space="1"/>
        </w:pBdr>
        <w:spacing w:before="240" w:after="240"/>
      </w:pPr>
      <w:r>
        <w:t xml:space="preserve"/>
      </w:r>
    </w:p>
    <w:p>
      <w:pPr>
        <w:spacing w:before="0" w:after="120"/>
      </w:pPr>
      <w:r>
        <w:t xml:space="preserve"/>
      </w:r>
    </w:p>
    <w:p>
      <w:pPr>
        <w:spacing w:before="200" w:after="120"/>
        <w:jc w:val="center"/>
      </w:pPr>
      <w:r>
        <w:rPr>
          <w:rFonts w:ascii="Arial" w:cs="Arial" w:eastAsia="Arial" w:hAnsi="Arial"/>
          <w:b/>
          <w:bCs/>
          <w:color w:val="2D1A8A"/>
          <w:sz w:val="24"/>
          <w:szCs w:val="24"/>
        </w:rPr>
        <w:t xml:space="preserve">Lara Stuart Mueller</w:t>
      </w:r>
    </w:p>
    <w:p>
      <w:pPr>
        <w:spacing w:after="80"/>
        <w:jc w:val="center"/>
      </w:pPr>
      <w:r>
        <w:rPr>
          <w:rFonts w:ascii="Arial" w:cs="Arial" w:eastAsia="Arial" w:hAnsi="Arial"/>
          <w:color w:val="6B4FD8"/>
          <w:sz w:val="20"/>
          <w:szCs w:val="20"/>
        </w:rPr>
        <w:t xml:space="preserve">Founder, loveconcursall</w:t>
      </w:r>
    </w:p>
    <w:p>
      <w:pPr>
        <w:jc w:val="center"/>
      </w:pPr>
      <w:r>
        <w:rPr>
          <w:rFonts w:ascii="Arial" w:cs="Arial" w:eastAsia="Arial" w:hAnsi="Arial"/>
          <w:i/>
          <w:iCs/>
          <w:color w:val="9B7FE8"/>
          <w:sz w:val="20"/>
          <w:szCs w:val="20"/>
        </w:rPr>
        <w:t xml:space="preserve">Velcro Wallet  ·  Hook. Loop. Hold.</w:t>
      </w:r>
    </w:p>
    <w:p>
      <w:pPr>
        <w:spacing w:before="0" w:after="120"/>
      </w:pPr>
      <w:r>
        <w:t xml:space="preserve"/>
      </w:r>
    </w:p>
    <w:p>
      <w:pPr>
        <w:jc w:val="center"/>
      </w:pPr>
      <w:r>
        <w:rPr>
          <w:rFonts w:ascii="Arial" w:cs="Arial" w:eastAsia="Arial" w:hAnsi="Arial"/>
          <w:color w:val="6B5EA8"/>
          <w:sz w:val="16"/>
          <w:szCs w:val="16"/>
        </w:rPr>
        <w:t xml:space="preserve">Confidential — For Discussion Purposes Only</w:t>
      </w:r>
    </w:p>
    <w:sectPr>
      <w:footerReference w:type="default" r:id="rId6"/>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4B2FB8" w:sz="4" w:space="4"/>
      </w:pBdr>
      <w:tabs>
        <w:tab w:val="right" w:pos="9026"/>
      </w:tabs>
    </w:pPr>
    <w:r>
      <w:rPr>
        <w:rFonts w:ascii="Arial" w:cs="Arial" w:eastAsia="Arial" w:hAnsi="Arial"/>
        <w:color w:val="6B5EA8"/>
        <w:sz w:val="18"/>
        <w:szCs w:val="18"/>
      </w:rPr>
      <w:t xml:space="preserve">VELCRO WALLET — Hook. Loop. Hold. — Founding Thesis</w:t>
    </w:r>
    <w:r>
      <w:rPr>
        <w:rFonts w:ascii="Arial" w:cs="Arial" w:eastAsia="Arial" w:hAnsi="Arial"/>
        <w:sz w:val="18"/>
        <w:szCs w:val="18"/>
      </w:rPr>
      <w:t xml:space="preserve">	</w:t>
    </w:r>
    <w:r>
      <w:rPr>
        <w:rFonts w:ascii="Arial" w:cs="Arial" w:eastAsia="Arial" w:hAnsi="Arial"/>
        <w:color w:val="6B5EA8"/>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80" w:after="200"/>
      <w:outlineLvl w:val="0"/>
    </w:pPr>
    <w:rPr>
      <w:rFonts w:ascii="Arial" w:cs="Arial" w:eastAsia="Arial" w:hAnsi="Arial"/>
      <w:b/>
      <w:bCs/>
      <w:color w:val="2D1A8A"/>
      <w:sz w:val="34"/>
      <w:szCs w:val="34"/>
    </w:rPr>
  </w:style>
  <w:style w:type="paragraph" w:styleId="Heading2">
    <w:name w:val="Heading 2"/>
    <w:basedOn w:val="Normal"/>
    <w:next w:val="Normal"/>
    <w:qFormat/>
    <w:pPr>
      <w:spacing w:before="320" w:after="160"/>
      <w:outlineLvl w:val="1"/>
    </w:pPr>
    <w:rPr>
      <w:rFonts w:ascii="Arial" w:cs="Arial" w:eastAsia="Arial" w:hAnsi="Arial"/>
      <w:b/>
      <w:bCs/>
      <w:color w:val="4B2FB8"/>
      <w:sz w:val="26"/>
      <w:szCs w:val="26"/>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oter" Target="footer1.xml"/><Relationship Id="rId7"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2026-04-01T01:12:48.732Z</dcterms:created>
  <dcterms:modified xsi:type="dcterms:W3CDTF">2026-04-01T01:12:48.733Z</dcterms:modified>
</cp:coreProperties>
</file>

<file path=docProps/custom.xml><?xml version="1.0" encoding="utf-8"?>
<Properties xmlns="http://schemas.openxmlformats.org/officeDocument/2006/custom-properties" xmlns:vt="http://schemas.openxmlformats.org/officeDocument/2006/docPropsVTypes"/>
</file>