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1B0F5E" w:val="clear"/>
            <w:tcMar>
              <w:top w:type="dxa" w:w="600"/>
              <w:left w:type="dxa" w:w="400"/>
              <w:bottom w:type="dxa" w:w="600"/>
              <w:right w:type="dxa" w:w="400"/>
            </w:tcMar>
          </w:tcPr>
          <w:p>
            <w:pPr>
              <w:spacing w:after="80"/>
              <w:jc w:val="center"/>
            </w:pPr>
            <w:r>
              <w:rPr>
                <w:rFonts w:ascii="Arial" w:cs="Arial" w:eastAsia="Arial" w:hAnsi="Arial"/>
                <w:b/>
                <w:bCs/>
                <w:color w:val="FFFFFF"/>
                <w:sz w:val="56"/>
                <w:szCs w:val="56"/>
              </w:rPr>
              <w:t xml:space="preserve">VELCRO WALLET</w:t>
            </w:r>
          </w:p>
          <w:p>
            <w:pPr>
              <w:spacing w:after="80"/>
              <w:jc w:val="center"/>
            </w:pPr>
            <w:r>
              <w:rPr>
                <w:rFonts w:ascii="Arial" w:cs="Arial" w:eastAsia="Arial" w:hAnsi="Arial"/>
                <w:color w:val="C4B0FF"/>
                <w:sz w:val="28"/>
                <w:szCs w:val="28"/>
              </w:rPr>
              <w:t xml:space="preserve">Investor &amp; Funding Overview</w:t>
            </w:r>
          </w:p>
          <w:p>
            <w:pPr>
              <w:spacing w:after="200"/>
              <w:jc w:val="center"/>
            </w:pPr>
            <w:r>
              <w:rPr>
                <w:rFonts w:ascii="Arial" w:cs="Arial" w:eastAsia="Arial" w:hAnsi="Arial"/>
                <w:b/>
                <w:bCs/>
                <w:color w:val="9B7FE8"/>
                <w:sz w:val="24"/>
                <w:szCs w:val="24"/>
              </w:rPr>
              <w:t xml:space="preserve">HOOK.  LOOP.  HOLD.</w:t>
            </w:r>
          </w:p>
          <w:p>
            <w:pPr>
              <w:spacing w:after="80"/>
              <w:jc w:val="center"/>
            </w:pPr>
            <w:r>
              <w:rPr>
                <w:rFonts w:ascii="Arial" w:cs="Arial" w:eastAsia="Arial" w:hAnsi="Arial"/>
                <w:color w:val="C4B0FF"/>
                <w:sz w:val="20"/>
                <w:szCs w:val="20"/>
              </w:rPr>
              <w:t xml:space="preserve">Lara Stuart Mueller — Founder, loveconcursall</w:t>
            </w:r>
          </w:p>
          <w:p>
            <w:pPr>
              <w:spacing w:after="80"/>
              <w:jc w:val="center"/>
            </w:pPr>
            <w:r>
              <w:rPr>
                <w:rFonts w:ascii="Arial" w:cs="Arial" w:eastAsia="Arial" w:hAnsi="Arial"/>
                <w:color w:val="6B4FD8"/>
                <w:sz w:val="18"/>
                <w:szCs w:val="18"/>
              </w:rPr>
              <w:t xml:space="preserve">lara@loveconcursall.com  ·  velcro.dev  ·  velcro-technologies.com</w:t>
            </w:r>
          </w:p>
          <w:p>
            <w:pPr>
              <w:spacing w:after="0"/>
              <w:jc w:val="center"/>
            </w:pPr>
            <w:r>
              <w:rPr>
                <w:rFonts w:ascii="Arial" w:cs="Arial" w:eastAsia="Arial" w:hAnsi="Arial"/>
                <w:b/>
                <w:bCs/>
                <w:color w:val="C4B0FF"/>
                <w:sz w:val="20"/>
                <w:szCs w:val="20"/>
              </w:rPr>
              <w:t xml:space="preserve">Funding Requested: $150,000 USD  ·  Milestone-Based</w:t>
            </w:r>
          </w:p>
        </w:tc>
      </w:tr>
    </w:tbl>
    <w:p>
      <w:r>
        <w:t xml:space="preserve"/>
      </w:r>
    </w:p>
    <w:p>
      <w:r>
        <w:t xml:space="preserve"/>
      </w:r>
    </w:p>
    <w:p>
      <w:pPr>
        <w:spacing w:after="120" w:before="300"/>
      </w:pPr>
      <w:r>
        <w:rPr>
          <w:rFonts w:ascii="Arial" w:cs="Arial" w:eastAsia="Arial" w:hAnsi="Arial"/>
          <w:b/>
          <w:bCs/>
          <w:color w:val="1B0F5E"/>
          <w:sz w:val="32"/>
          <w:szCs w:val="32"/>
        </w:rPr>
        <w:t xml:space="preserve">Section 1 — Project Summary</w:t>
      </w:r>
    </w:p>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400"/>
        <w:gridCol w:w="6960"/>
      </w:tblGrid>
      <w:tr>
        <w:tc>
          <w:tcPr>
            <w:tcW w:type="dxa" w:w="24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bCs/>
                <w:color w:val="2D1A8A"/>
                <w:sz w:val="20"/>
                <w:szCs w:val="20"/>
              </w:rPr>
              <w:t xml:space="preserve">Project Name</w:t>
            </w:r>
          </w:p>
        </w:tc>
        <w:tc>
          <w:tcPr>
            <w:tcW w:type="dxa" w:w="69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color w:val="333333"/>
                <w:sz w:val="20"/>
                <w:szCs w:val="20"/>
              </w:rPr>
              <w:t xml:space="preserve">Velcro Wallet</w:t>
            </w:r>
          </w:p>
        </w:tc>
      </w:tr>
      <w:tr>
        <w:tc>
          <w:tcPr>
            <w:tcW w:type="dxa" w:w="240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b/>
                <w:bCs/>
                <w:color w:val="2D1A8A"/>
                <w:sz w:val="20"/>
                <w:szCs w:val="20"/>
              </w:rPr>
              <w:t xml:space="preserve">Tagline</w:t>
            </w:r>
          </w:p>
        </w:tc>
        <w:tc>
          <w:tcPr>
            <w:tcW w:type="dxa" w:w="696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color w:val="333333"/>
                <w:sz w:val="20"/>
                <w:szCs w:val="20"/>
              </w:rPr>
              <w:t xml:space="preserve">Hook. Loop. Hold.</w:t>
            </w:r>
          </w:p>
        </w:tc>
      </w:tr>
      <w:tr>
        <w:tc>
          <w:tcPr>
            <w:tcW w:type="dxa" w:w="24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bCs/>
                <w:color w:val="2D1A8A"/>
                <w:sz w:val="20"/>
                <w:szCs w:val="20"/>
              </w:rPr>
              <w:t xml:space="preserve">Founder</w:t>
            </w:r>
          </w:p>
        </w:tc>
        <w:tc>
          <w:tcPr>
            <w:tcW w:type="dxa" w:w="69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color w:val="333333"/>
                <w:sz w:val="20"/>
                <w:szCs w:val="20"/>
              </w:rPr>
              <w:t xml:space="preserve">Lara Stuart Mueller</w:t>
            </w:r>
          </w:p>
        </w:tc>
      </w:tr>
      <w:tr>
        <w:tc>
          <w:tcPr>
            <w:tcW w:type="dxa" w:w="240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b/>
                <w:bCs/>
                <w:color w:val="2D1A8A"/>
                <w:sz w:val="20"/>
                <w:szCs w:val="20"/>
              </w:rPr>
              <w:t xml:space="preserve">Organization</w:t>
            </w:r>
          </w:p>
        </w:tc>
        <w:tc>
          <w:tcPr>
            <w:tcW w:type="dxa" w:w="696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color w:val="333333"/>
                <w:sz w:val="20"/>
                <w:szCs w:val="20"/>
              </w:rPr>
              <w:t xml:space="preserve">loveconcursall (Swiss GmbH in formation)</w:t>
            </w:r>
          </w:p>
        </w:tc>
      </w:tr>
      <w:tr>
        <w:tc>
          <w:tcPr>
            <w:tcW w:type="dxa" w:w="24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bCs/>
                <w:color w:val="2D1A8A"/>
                <w:sz w:val="20"/>
                <w:szCs w:val="20"/>
              </w:rPr>
              <w:t xml:space="preserve">Email</w:t>
            </w:r>
          </w:p>
        </w:tc>
        <w:tc>
          <w:tcPr>
            <w:tcW w:type="dxa" w:w="69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color w:val="333333"/>
                <w:sz w:val="20"/>
                <w:szCs w:val="20"/>
              </w:rPr>
              <w:t xml:space="preserve">lara@loveconcursall.com</w:t>
            </w:r>
          </w:p>
        </w:tc>
      </w:tr>
      <w:tr>
        <w:tc>
          <w:tcPr>
            <w:tcW w:type="dxa" w:w="240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b/>
                <w:bCs/>
                <w:color w:val="2D1A8A"/>
                <w:sz w:val="20"/>
                <w:szCs w:val="20"/>
              </w:rPr>
              <w:t xml:space="preserve">Developer Site</w:t>
            </w:r>
          </w:p>
        </w:tc>
        <w:tc>
          <w:tcPr>
            <w:tcW w:type="dxa" w:w="696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color w:val="333333"/>
                <w:sz w:val="20"/>
                <w:szCs w:val="20"/>
              </w:rPr>
              <w:t xml:space="preserve">velcro.dev — open source docs, SDK, developer onboarding</w:t>
            </w:r>
          </w:p>
        </w:tc>
      </w:tr>
      <w:tr>
        <w:tc>
          <w:tcPr>
            <w:tcW w:type="dxa" w:w="24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bCs/>
                <w:color w:val="2D1A8A"/>
                <w:sz w:val="20"/>
                <w:szCs w:val="20"/>
              </w:rPr>
              <w:t xml:space="preserve">Product Site</w:t>
            </w:r>
          </w:p>
        </w:tc>
        <w:tc>
          <w:tcPr>
            <w:tcW w:type="dxa" w:w="69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color w:val="333333"/>
                <w:sz w:val="20"/>
                <w:szCs w:val="20"/>
              </w:rPr>
              <w:t xml:space="preserve">velcro-technologies.com — consumer-facing product, waitlist, brand</w:t>
            </w:r>
          </w:p>
        </w:tc>
      </w:tr>
      <w:tr>
        <w:tc>
          <w:tcPr>
            <w:tcW w:type="dxa" w:w="240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b/>
                <w:bCs/>
                <w:color w:val="2D1A8A"/>
                <w:sz w:val="20"/>
                <w:szCs w:val="20"/>
              </w:rPr>
              <w:t xml:space="preserve">Location</w:t>
            </w:r>
          </w:p>
        </w:tc>
        <w:tc>
          <w:tcPr>
            <w:tcW w:type="dxa" w:w="696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color w:val="333333"/>
                <w:sz w:val="20"/>
                <w:szCs w:val="20"/>
              </w:rPr>
              <w:t xml:space="preserve">United States (Swiss national)</w:t>
            </w:r>
          </w:p>
        </w:tc>
      </w:tr>
      <w:tr>
        <w:tc>
          <w:tcPr>
            <w:tcW w:type="dxa" w:w="24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bCs/>
                <w:color w:val="2D1A8A"/>
                <w:sz w:val="20"/>
                <w:szCs w:val="20"/>
              </w:rPr>
              <w:t xml:space="preserve">Swiss Entity</w:t>
            </w:r>
          </w:p>
        </w:tc>
        <w:tc>
          <w:tcPr>
            <w:tcW w:type="dxa" w:w="69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color w:val="333333"/>
                <w:sz w:val="20"/>
                <w:szCs w:val="20"/>
              </w:rPr>
              <w:t xml:space="preserve">GmbH formation in progress — FINMA-compliant architecture</w:t>
            </w:r>
          </w:p>
        </w:tc>
      </w:tr>
      <w:tr>
        <w:tc>
          <w:tcPr>
            <w:tcW w:type="dxa" w:w="240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b/>
                <w:bCs/>
                <w:color w:val="2D1A8A"/>
                <w:sz w:val="20"/>
                <w:szCs w:val="20"/>
              </w:rPr>
              <w:t xml:space="preserve">Build Stage</w:t>
            </w:r>
          </w:p>
        </w:tc>
        <w:tc>
          <w:tcPr>
            <w:tcW w:type="dxa" w:w="696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color w:val="333333"/>
                <w:sz w:val="20"/>
                <w:szCs w:val="20"/>
              </w:rPr>
              <w:t xml:space="preserve">Early development — architecture complete, core build in progress</w:t>
            </w:r>
          </w:p>
        </w:tc>
      </w:tr>
      <w:tr>
        <w:tc>
          <w:tcPr>
            <w:tcW w:type="dxa" w:w="240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b/>
                <w:bCs/>
                <w:color w:val="2D1A8A"/>
                <w:sz w:val="20"/>
                <w:szCs w:val="20"/>
              </w:rPr>
              <w:t xml:space="preserve">Category</w:t>
            </w:r>
          </w:p>
        </w:tc>
        <w:tc>
          <w:tcPr>
            <w:tcW w:type="dxa" w:w="6960"/>
            <w:tcBorders>
              <w:top w:val="none" w:color="FFFFFF" w:sz="0"/>
              <w:left w:val="none" w:color="FFFFFF" w:sz="0"/>
              <w:bottom w:val="none" w:color="FFFFFF" w:sz="0"/>
              <w:right w:val="none" w:color="FFFFFF" w:sz="0"/>
            </w:tcBorders>
            <w:shd w:fill="FFFFFF" w:val="clear"/>
            <w:tcMar>
              <w:top w:type="dxa" w:w="80"/>
              <w:left w:type="dxa" w:w="120"/>
              <w:bottom w:type="dxa" w:w="80"/>
              <w:right w:type="dxa" w:w="120"/>
            </w:tcMar>
          </w:tcPr>
          <w:p>
            <w:r>
              <w:rPr>
                <w:rFonts w:ascii="Arial" w:cs="Arial" w:eastAsia="Arial" w:hAnsi="Arial"/>
                <w:color w:val="333333"/>
                <w:sz w:val="20"/>
                <w:szCs w:val="20"/>
              </w:rPr>
              <w:t xml:space="preserve">Wallet Infrastructure / AI Integration / Open Source Public Goods</w:t>
            </w:r>
          </w:p>
        </w:tc>
      </w:tr>
      <w:tr>
        <w:tc>
          <w:tcPr>
            <w:tcW w:type="dxa" w:w="240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b/>
                <w:bCs/>
                <w:color w:val="2D1A8A"/>
                <w:sz w:val="20"/>
                <w:szCs w:val="20"/>
              </w:rPr>
              <w:t xml:space="preserve">Funding Sought</w:t>
            </w:r>
          </w:p>
        </w:tc>
        <w:tc>
          <w:tcPr>
            <w:tcW w:type="dxa" w:w="6960"/>
            <w:tcBorders>
              <w:top w:val="none" w:color="FFFFFF" w:sz="0"/>
              <w:left w:val="none" w:color="FFFFFF" w:sz="0"/>
              <w:bottom w:val="none" w:color="FFFFFF" w:sz="0"/>
              <w:right w:val="none" w:color="FFFFFF" w:sz="0"/>
            </w:tcBorders>
            <w:shd w:fill="F5F3FF" w:val="clear"/>
            <w:tcMar>
              <w:top w:type="dxa" w:w="80"/>
              <w:left w:type="dxa" w:w="120"/>
              <w:bottom w:type="dxa" w:w="80"/>
              <w:right w:type="dxa" w:w="120"/>
            </w:tcMar>
          </w:tcPr>
          <w:p>
            <w:r>
              <w:rPr>
                <w:rFonts w:ascii="Arial" w:cs="Arial" w:eastAsia="Arial" w:hAnsi="Arial"/>
                <w:color w:val="333333"/>
                <w:sz w:val="20"/>
                <w:szCs w:val="20"/>
              </w:rPr>
              <w:t xml:space="preserve">$150,000 USD — milestone-based with verifiable deliverables</w:t>
            </w:r>
          </w:p>
        </w:tc>
      </w:tr>
    </w:tbl>
    <w:p>
      <w:r>
        <w:t xml:space="preserve"/>
      </w:r>
    </w:p>
    <w:p>
      <w:pPr>
        <w:pBdr>
          <w:bottom w:val="single" w:color="4B2FB8" w:sz="6" w:space="1"/>
        </w:pBdr>
        <w:spacing w:after="200"/>
      </w:pPr>
      <w:r>
        <w:t xml:space="preserve"/>
      </w:r>
    </w:p>
    <w:p>
      <w:r>
        <w:br w:type="page"/>
      </w:r>
    </w:p>
    <w:p>
      <w:pPr>
        <w:spacing w:after="120" w:before="300"/>
      </w:pPr>
      <w:r>
        <w:rPr>
          <w:rFonts w:ascii="Arial" w:cs="Arial" w:eastAsia="Arial" w:hAnsi="Arial"/>
          <w:b/>
          <w:bCs/>
          <w:color w:val="1B0F5E"/>
          <w:sz w:val="32"/>
          <w:szCs w:val="32"/>
        </w:rPr>
        <w:t xml:space="preserve">Section 2 — The Product</w:t>
      </w:r>
    </w:p>
    <w:p>
      <w:r>
        <w:t xml:space="preserve"/>
      </w:r>
    </w:p>
    <w:p>
      <w:pPr>
        <w:spacing w:after="80" w:before="240"/>
      </w:pPr>
      <w:r>
        <w:rPr>
          <w:rFonts w:ascii="Arial" w:cs="Arial" w:eastAsia="Arial" w:hAnsi="Arial"/>
          <w:b/>
          <w:bCs/>
          <w:color w:val="2D1A8A"/>
          <w:sz w:val="24"/>
          <w:szCs w:val="24"/>
        </w:rPr>
        <w:t xml:space="preserve">What is Velcro Wallet?</w:t>
      </w:r>
    </w:p>
    <w:p>
      <w:pPr>
        <w:spacing w:after="120"/>
      </w:pPr>
      <w:r>
        <w:rPr>
          <w:rFonts w:ascii="Arial" w:cs="Arial" w:eastAsia="Arial" w:hAnsi="Arial"/>
          <w:color w:val="333333"/>
          <w:sz w:val="20"/>
          <w:szCs w:val="20"/>
        </w:rPr>
        <w:t xml:space="preserve">Velcro is a non-custodial, peer-to-peer crypto and fiat wallet with a six-agent AI coordination layer, a three-mode language toggle for mainstream accessibility, integrated traditional banking, and native cross-chain execution. It is built to be as easy as PayPal for a first-time user and as powerful as a professional trading terminal for an experienced trader — free forever, radically transparent, and designed from the ground up with human dignity at the architecture level.</w:t>
      </w:r>
    </w:p>
    <w:p>
      <w:r>
        <w:t xml:space="preserve"/>
      </w:r>
    </w:p>
    <w:p>
      <w:pPr>
        <w:spacing w:after="120"/>
      </w:pPr>
      <w:r>
        <w:rPr>
          <w:rFonts w:ascii="Arial" w:cs="Arial" w:eastAsia="Arial" w:hAnsi="Arial"/>
          <w:color w:val="333333"/>
          <w:sz w:val="20"/>
          <w:szCs w:val="20"/>
        </w:rPr>
        <w:t xml:space="preserve">The name is intentional. Velcro hooks into both the crypto world and the traditional financial world, loops them together seamlessly, and holds assets, identity, and trust in a single place that belongs entirely to the user.</w:t>
      </w:r>
    </w:p>
    <w:p>
      <w:r>
        <w:t xml:space="preserve"/>
      </w:r>
    </w:p>
    <w:p>
      <w:pPr>
        <w:spacing w:after="80" w:before="240"/>
      </w:pPr>
      <w:r>
        <w:rPr>
          <w:rFonts w:ascii="Arial" w:cs="Arial" w:eastAsia="Arial" w:hAnsi="Arial"/>
          <w:b/>
          <w:bCs/>
          <w:color w:val="2D1A8A"/>
          <w:sz w:val="24"/>
          <w:szCs w:val="24"/>
        </w:rPr>
        <w:t xml:space="preserve">The Problem We Are Solving</w:t>
      </w:r>
    </w:p>
    <w:p>
      <w:pPr>
        <w:pStyle w:val="ListParagraph"/>
        <w:numPr>
          <w:ilvl w:val="0"/>
          <w:numId w:val="2"/>
        </w:numPr>
        <w:spacing w:after="80"/>
      </w:pPr>
      <w:r>
        <w:rPr>
          <w:rFonts w:ascii="Arial" w:cs="Arial" w:eastAsia="Arial" w:hAnsi="Arial"/>
          <w:color w:val="333333"/>
          <w:sz w:val="20"/>
          <w:szCs w:val="20"/>
        </w:rPr>
        <w:t xml:space="preserve">Powerful wallets are inaccessible. Phantom, MetaMask, and Rabby are excellent products for a small, technically literate audience. They assume knowledge of gas, slippage, smart contract risk, and chain mechanics. For the other 99% of potential users, they are unusable.</w:t>
      </w:r>
    </w:p>
    <w:p>
      <w:pPr>
        <w:pStyle w:val="ListParagraph"/>
        <w:numPr>
          <w:ilvl w:val="0"/>
          <w:numId w:val="2"/>
        </w:numPr>
        <w:spacing w:after="80"/>
      </w:pPr>
      <w:r>
        <w:rPr>
          <w:rFonts w:ascii="Arial" w:cs="Arial" w:eastAsia="Arial" w:hAnsi="Arial"/>
          <w:color w:val="333333"/>
          <w:sz w:val="20"/>
          <w:szCs w:val="20"/>
        </w:rPr>
        <w:t xml:space="preserve">Simple wallets are unsafe. Exchange-linked wallets hide complexity without resolving it. They do not simulate transactions before signing. They do not check contract audit status or detect honeypot tokens. The FBI reported $3.9 billion lost to crypto scams in 2023 alone.</w:t>
      </w:r>
    </w:p>
    <w:p>
      <w:pPr>
        <w:pStyle w:val="ListParagraph"/>
        <w:numPr>
          <w:ilvl w:val="0"/>
          <w:numId w:val="2"/>
        </w:numPr>
        <w:spacing w:after="80"/>
      </w:pPr>
      <w:r>
        <w:rPr>
          <w:rFonts w:ascii="Arial" w:cs="Arial" w:eastAsia="Arial" w:hAnsi="Arial"/>
          <w:color w:val="333333"/>
          <w:sz w:val="20"/>
          <w:szCs w:val="20"/>
        </w:rPr>
        <w:t xml:space="preserve">Neither serves the global majority. 2.6 billion people remain unbanked or underbanked. Every wallet built today assumes a bank account, a recent device, and English-language technical literacy.</w:t>
      </w:r>
    </w:p>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4B2FB8" w:sz="12"/>
              <w:bottom w:val="none" w:color="FFFFFF" w:sz="0"/>
              <w:right w:val="none" w:color="FFFFFF" w:sz="0"/>
            </w:tcBorders>
            <w:shd w:fill="F5F3FF" w:val="clear"/>
            <w:tcMar>
              <w:top w:type="dxa" w:w="100"/>
              <w:left w:type="dxa" w:w="200"/>
              <w:bottom w:type="dxa" w:w="100"/>
              <w:right w:type="dxa" w:w="120"/>
            </w:tcMar>
          </w:tcPr>
          <w:p>
            <w:r>
              <w:rPr>
                <w:rFonts w:ascii="Arial" w:cs="Arial" w:eastAsia="Arial" w:hAnsi="Arial"/>
                <w:b/>
                <w:bCs/>
                <w:color w:val="4B2FB8"/>
                <w:sz w:val="19"/>
                <w:szCs w:val="19"/>
              </w:rPr>
              <w:t xml:space="preserve">Core Thesis</w:t>
            </w:r>
          </w:p>
          <w:p>
            <w:pPr>
              <w:spacing w:after="0"/>
            </w:pPr>
            <w:r>
              <w:rPr>
                <w:rFonts w:ascii="Arial" w:cs="Arial" w:eastAsia="Arial" w:hAnsi="Arial"/>
                <w:i/>
                <w:iCs/>
                <w:color w:val="444444"/>
                <w:sz w:val="19"/>
                <w:szCs w:val="19"/>
              </w:rPr>
              <w:t xml:space="preserve">Crypto was supposed to bank the unbanked. Every wallet built so far has served the already-banked. Velcro is the answer.</w:t>
            </w:r>
          </w:p>
        </w:tc>
      </w:tr>
    </w:tbl>
    <w:p>
      <w:r>
        <w:t xml:space="preserve"/>
      </w:r>
    </w:p>
    <w:p>
      <w:pPr>
        <w:spacing w:after="80" w:before="240"/>
      </w:pPr>
      <w:r>
        <w:rPr>
          <w:rFonts w:ascii="Arial" w:cs="Arial" w:eastAsia="Arial" w:hAnsi="Arial"/>
          <w:b/>
          <w:bCs/>
          <w:color w:val="2D1A8A"/>
          <w:sz w:val="24"/>
          <w:szCs w:val="24"/>
        </w:rPr>
        <w:t xml:space="preserve">The Three Founding Innovations</w:t>
      </w:r>
    </w:p>
    <w:p>
      <w:pPr>
        <w:pStyle w:val="ListParagraph"/>
        <w:numPr>
          <w:ilvl w:val="0"/>
          <w:numId w:val="2"/>
        </w:numPr>
        <w:spacing w:after="80"/>
      </w:pPr>
      <w:r>
        <w:rPr>
          <w:rFonts w:ascii="Arial" w:cs="Arial" w:eastAsia="Arial" w:hAnsi="Arial"/>
          <w:color w:val="333333"/>
          <w:sz w:val="20"/>
          <w:szCs w:val="20"/>
        </w:rPr>
        <w:t xml:space="preserve">A six-agent AI coordination stack that analyzes every trade, checks every counterparty, monitors every portfolio, and communicates with the user in whichever mode they choose — before a single transaction is signed.</w:t>
      </w:r>
    </w:p>
    <w:p>
      <w:pPr>
        <w:pStyle w:val="ListParagraph"/>
        <w:numPr>
          <w:ilvl w:val="0"/>
          <w:numId w:val="2"/>
        </w:numPr>
        <w:spacing w:after="80"/>
      </w:pPr>
      <w:r>
        <w:rPr>
          <w:rFonts w:ascii="Arial" w:cs="Arial" w:eastAsia="Arial" w:hAnsi="Arial"/>
          <w:color w:val="333333"/>
          <w:sz w:val="20"/>
          <w:szCs w:val="20"/>
        </w:rPr>
        <w:t xml:space="preserve">A three-mode language toggle (Everyday / Informed / Pro) powered by a Language Agent that renders every screen, every alert, and every risk summary in plain English or full technical detail — one tap, everything changes.</w:t>
      </w:r>
    </w:p>
    <w:p>
      <w:pPr>
        <w:pStyle w:val="ListParagraph"/>
        <w:numPr>
          <w:ilvl w:val="0"/>
          <w:numId w:val="2"/>
        </w:numPr>
        <w:spacing w:after="80"/>
      </w:pPr>
      <w:r>
        <w:rPr>
          <w:rFonts w:ascii="Arial" w:cs="Arial" w:eastAsia="Arial" w:hAnsi="Arial"/>
          <w:color w:val="333333"/>
          <w:sz w:val="20"/>
          <w:szCs w:val="20"/>
        </w:rPr>
        <w:t xml:space="preserve">Native cross-chain execution using intent-centric architecture, making Velcro the first mainstream consumer wallet to deliver multi-chain technology to users who have never heard of a blockchain.</w:t>
      </w:r>
    </w:p>
    <w:p>
      <w:r>
        <w:t xml:space="preserve"/>
      </w:r>
    </w:p>
    <w:p>
      <w:pPr>
        <w:pBdr>
          <w:bottom w:val="single" w:color="4B2FB8" w:sz="6" w:space="1"/>
        </w:pBdr>
        <w:spacing w:after="200"/>
      </w:pPr>
      <w:r>
        <w:t xml:space="preserve"/>
      </w:r>
    </w:p>
    <w:p>
      <w:r>
        <w:br w:type="page"/>
      </w:r>
    </w:p>
    <w:p>
      <w:pPr>
        <w:spacing w:after="120" w:before="300"/>
      </w:pPr>
      <w:r>
        <w:rPr>
          <w:rFonts w:ascii="Arial" w:cs="Arial" w:eastAsia="Arial" w:hAnsi="Arial"/>
          <w:b/>
          <w:bCs/>
          <w:color w:val="1B0F5E"/>
          <w:sz w:val="32"/>
          <w:szCs w:val="32"/>
        </w:rPr>
        <w:t xml:space="preserve">Section 3 — Why This Must Exist</w:t>
      </w:r>
    </w:p>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3120"/>
        <w:gridCol w:w="3120"/>
        <w:gridCol w:w="3120"/>
      </w:tblGrid>
      <w:tr>
        <w:tc>
          <w:tcPr>
            <w:tcW w:type="dxa" w:w="3120"/>
            <w:tcBorders>
              <w:top w:val="none" w:color="FFFFFF" w:sz="0"/>
              <w:left w:val="none" w:color="FFFFFF" w:sz="0"/>
              <w:bottom w:val="none" w:color="FFFFFF" w:sz="0"/>
              <w:right w:val="none" w:color="FFFFFF" w:sz="0"/>
            </w:tcBorders>
            <w:shd w:fill="F5F3FF" w:val="clear"/>
            <w:tcMar>
              <w:top w:type="dxa" w:w="120"/>
              <w:left w:type="dxa" w:w="120"/>
              <w:bottom w:type="dxa" w:w="120"/>
              <w:right w:type="dxa" w:w="120"/>
            </w:tcMar>
          </w:tcPr>
          <w:p>
            <w:pPr>
              <w:jc w:val="center"/>
            </w:pPr>
            <w:r>
              <w:rPr>
                <w:rFonts w:ascii="Arial" w:cs="Arial" w:eastAsia="Arial" w:hAnsi="Arial"/>
                <w:b/>
                <w:bCs/>
                <w:color w:val="4B2FB8"/>
                <w:sz w:val="48"/>
                <w:szCs w:val="48"/>
              </w:rPr>
              <w:t xml:space="preserve">$3.9B</w:t>
            </w:r>
          </w:p>
          <w:p>
            <w:pPr>
              <w:spacing w:after="0"/>
              <w:jc w:val="center"/>
            </w:pPr>
            <w:r>
              <w:rPr>
                <w:rFonts w:ascii="Arial" w:cs="Arial" w:eastAsia="Arial" w:hAnsi="Arial"/>
                <w:color w:val="555555"/>
                <w:sz w:val="18"/>
                <w:szCs w:val="18"/>
              </w:rPr>
              <w:t xml:space="preserve">lost to crypto scams
in 2023 alone (FBI)</w:t>
            </w:r>
          </w:p>
        </w:tc>
        <w:tc>
          <w:tcPr>
            <w:tcW w:type="dxa" w:w="3120"/>
            <w:tcBorders>
              <w:top w:val="none" w:color="FFFFFF" w:sz="0"/>
              <w:left w:val="none" w:color="FFFFFF" w:sz="0"/>
              <w:bottom w:val="none" w:color="FFFFFF" w:sz="0"/>
              <w:right w:val="none" w:color="FFFFFF" w:sz="0"/>
            </w:tcBorders>
            <w:shd w:fill="F5F3FF" w:val="clear"/>
            <w:tcMar>
              <w:top w:type="dxa" w:w="120"/>
              <w:left w:type="dxa" w:w="120"/>
              <w:bottom w:type="dxa" w:w="120"/>
              <w:right w:type="dxa" w:w="120"/>
            </w:tcMar>
          </w:tcPr>
          <w:p>
            <w:pPr>
              <w:jc w:val="center"/>
            </w:pPr>
            <w:r>
              <w:rPr>
                <w:rFonts w:ascii="Arial" w:cs="Arial" w:eastAsia="Arial" w:hAnsi="Arial"/>
                <w:b/>
                <w:bCs/>
                <w:color w:val="4B2FB8"/>
                <w:sz w:val="48"/>
                <w:szCs w:val="48"/>
              </w:rPr>
              <w:t xml:space="preserve">2.6B</w:t>
            </w:r>
          </w:p>
          <w:p>
            <w:pPr>
              <w:spacing w:after="0"/>
              <w:jc w:val="center"/>
            </w:pPr>
            <w:r>
              <w:rPr>
                <w:rFonts w:ascii="Arial" w:cs="Arial" w:eastAsia="Arial" w:hAnsi="Arial"/>
                <w:color w:val="555555"/>
                <w:sz w:val="18"/>
                <w:szCs w:val="18"/>
              </w:rPr>
              <w:t xml:space="preserve">unbanked or underbanked
people globally</w:t>
            </w:r>
          </w:p>
        </w:tc>
        <w:tc>
          <w:tcPr>
            <w:tcW w:type="dxa" w:w="3120"/>
            <w:tcBorders>
              <w:top w:val="none" w:color="FFFFFF" w:sz="0"/>
              <w:left w:val="none" w:color="FFFFFF" w:sz="0"/>
              <w:bottom w:val="none" w:color="FFFFFF" w:sz="0"/>
              <w:right w:val="none" w:color="FFFFFF" w:sz="0"/>
            </w:tcBorders>
            <w:shd w:fill="F5F3FF" w:val="clear"/>
            <w:tcMar>
              <w:top w:type="dxa" w:w="120"/>
              <w:left w:type="dxa" w:w="120"/>
              <w:bottom w:type="dxa" w:w="120"/>
              <w:right w:type="dxa" w:w="120"/>
            </w:tcMar>
          </w:tcPr>
          <w:p>
            <w:pPr>
              <w:jc w:val="center"/>
            </w:pPr>
            <w:r>
              <w:rPr>
                <w:rFonts w:ascii="Arial" w:cs="Arial" w:eastAsia="Arial" w:hAnsi="Arial"/>
                <w:b/>
                <w:bCs/>
                <w:color w:val="4B2FB8"/>
                <w:sz w:val="48"/>
                <w:szCs w:val="48"/>
              </w:rPr>
              <w:t xml:space="preserve">92%</w:t>
            </w:r>
          </w:p>
          <w:p>
            <w:pPr>
              <w:spacing w:after="0"/>
              <w:jc w:val="center"/>
            </w:pPr>
            <w:r>
              <w:rPr>
                <w:rFonts w:ascii="Arial" w:cs="Arial" w:eastAsia="Arial" w:hAnsi="Arial"/>
                <w:color w:val="555555"/>
                <w:sz w:val="18"/>
                <w:szCs w:val="18"/>
              </w:rPr>
              <w:t xml:space="preserve">of new users say crypto
is “too confusing”</w:t>
            </w:r>
          </w:p>
        </w:tc>
      </w:tr>
    </w:tbl>
    <w:p>
      <w:r>
        <w:t xml:space="preserve"/>
      </w:r>
    </w:p>
    <w:p>
      <w:r>
        <w:t xml:space="preserve"/>
      </w:r>
    </w:p>
    <w:p>
      <w:pPr>
        <w:spacing w:after="120"/>
      </w:pPr>
      <w:r>
        <w:rPr>
          <w:rFonts w:ascii="Arial" w:cs="Arial" w:eastAsia="Arial" w:hAnsi="Arial"/>
          <w:color w:val="333333"/>
          <w:sz w:val="20"/>
          <w:szCs w:val="20"/>
        </w:rPr>
        <w:t xml:space="preserve">The current wallet market has failed in two simultaneous and opposite directions. The powerful products are inaccessible. The simple products are unsafe. And neither serves the 2.6 billion people for whom crypto represents not speculation, but the first viable financial infrastructure they have ever had access to.</w:t>
      </w:r>
    </w:p>
    <w:p>
      <w:r>
        <w:t xml:space="preserve"/>
      </w:r>
    </w:p>
    <w:p>
      <w:pPr>
        <w:spacing w:after="120"/>
      </w:pPr>
      <w:r>
        <w:rPr>
          <w:rFonts w:ascii="Arial" w:cs="Arial" w:eastAsia="Arial" w:hAnsi="Arial"/>
          <w:color w:val="333333"/>
          <w:sz w:val="20"/>
          <w:szCs w:val="20"/>
        </w:rPr>
        <w:t xml:space="preserve">Velcro is built on the conviction that safety and accessibility are not trade-offs. A wallet can protect users who do not understand what they are signing and empower users who understand exactly what they are doing — at the same time, in the same product, with one tap between them.</w:t>
      </w:r>
    </w:p>
    <w:p>
      <w:r>
        <w:t xml:space="preserve"/>
      </w:r>
    </w:p>
    <w:p>
      <w:pPr>
        <w:spacing w:after="120"/>
      </w:pPr>
      <w:r>
        <w:rPr>
          <w:rFonts w:ascii="Arial" w:cs="Arial" w:eastAsia="Arial" w:hAnsi="Arial"/>
          <w:color w:val="333333"/>
          <w:sz w:val="20"/>
          <w:szCs w:val="20"/>
        </w:rPr>
        <w:t xml:space="preserve">This is not a product for a niche market. It is the product the next phase of mainstream crypto adoption requires.</w:t>
      </w:r>
    </w:p>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1B0F5E" w:sz="12"/>
              <w:bottom w:val="none" w:color="FFFFFF" w:sz="0"/>
              <w:right w:val="none" w:color="FFFFFF" w:sz="0"/>
            </w:tcBorders>
            <w:shd w:fill="F5F3FF" w:val="clear"/>
            <w:tcMar>
              <w:top w:type="dxa" w:w="100"/>
              <w:left w:type="dxa" w:w="200"/>
              <w:bottom w:type="dxa" w:w="100"/>
              <w:right w:type="dxa" w:w="120"/>
            </w:tcMar>
          </w:tcPr>
          <w:p>
            <w:r>
              <w:rPr>
                <w:rFonts w:ascii="Arial" w:cs="Arial" w:eastAsia="Arial" w:hAnsi="Arial"/>
                <w:b/>
                <w:bCs/>
                <w:color w:val="1B0F5E"/>
                <w:sz w:val="19"/>
                <w:szCs w:val="19"/>
              </w:rPr>
              <w:t xml:space="preserve">Civil Rights by Architecture</w:t>
            </w:r>
          </w:p>
          <w:p>
            <w:pPr>
              <w:spacing w:after="0"/>
            </w:pPr>
            <w:r>
              <w:rPr>
                <w:rFonts w:ascii="Arial" w:cs="Arial" w:eastAsia="Arial" w:hAnsi="Arial"/>
                <w:i/>
                <w:iCs/>
                <w:color w:val="444444"/>
                <w:sz w:val="19"/>
                <w:szCs w:val="19"/>
              </w:rPr>
              <w:t xml:space="preserve">Privacy is not a feature we add. Non-custodial design is not a setting. Human dignity is not a filter applied after the product is built. These are architectural decisions that determine what the product can and cannot do. Velcro’s civil rights foundation is encoded at the protocol level, not promised in a terms of service.</w:t>
            </w:r>
          </w:p>
        </w:tc>
      </w:tr>
    </w:tbl>
    <w:p>
      <w:r>
        <w:t xml:space="preserve"/>
      </w:r>
    </w:p>
    <w:p>
      <w:pPr>
        <w:pBdr>
          <w:bottom w:val="single" w:color="4B2FB8" w:sz="6" w:space="1"/>
        </w:pBdr>
        <w:spacing w:after="200"/>
      </w:pPr>
      <w:r>
        <w:t xml:space="preserve"/>
      </w:r>
    </w:p>
    <w:p>
      <w:r>
        <w:br w:type="page"/>
      </w:r>
    </w:p>
    <w:p>
      <w:pPr>
        <w:spacing w:after="120" w:before="300"/>
      </w:pPr>
      <w:r>
        <w:rPr>
          <w:rFonts w:ascii="Arial" w:cs="Arial" w:eastAsia="Arial" w:hAnsi="Arial"/>
          <w:b/>
          <w:bCs/>
          <w:color w:val="1B0F5E"/>
          <w:sz w:val="32"/>
          <w:szCs w:val="32"/>
        </w:rPr>
        <w:t xml:space="preserve">Section 4 — Technical Architecture</w:t>
      </w:r>
    </w:p>
    <w:p>
      <w:r>
        <w:t xml:space="preserve"/>
      </w:r>
    </w:p>
    <w:p>
      <w:pPr>
        <w:spacing w:after="80" w:before="240"/>
      </w:pPr>
      <w:r>
        <w:rPr>
          <w:rFonts w:ascii="Arial" w:cs="Arial" w:eastAsia="Arial" w:hAnsi="Arial"/>
          <w:b/>
          <w:bCs/>
          <w:color w:val="2D1A8A"/>
          <w:sz w:val="24"/>
          <w:szCs w:val="24"/>
        </w:rPr>
        <w:t xml:space="preserve">Core Design Principles</w:t>
      </w:r>
    </w:p>
    <w:p>
      <w:pPr>
        <w:pStyle w:val="ListParagraph"/>
        <w:numPr>
          <w:ilvl w:val="0"/>
          <w:numId w:val="2"/>
        </w:numPr>
        <w:spacing w:after="80"/>
      </w:pPr>
      <w:r>
        <w:rPr>
          <w:rFonts w:ascii="Arial" w:cs="Arial" w:eastAsia="Arial" w:hAnsi="Arial"/>
          <w:color w:val="333333"/>
          <w:sz w:val="20"/>
          <w:szCs w:val="20"/>
        </w:rPr>
        <w:t xml:space="preserve">Non-custodial by architecture. Keys never leave the user’s device. No server holds funds. This is a technical fact, not a policy.</w:t>
      </w:r>
    </w:p>
    <w:p>
      <w:pPr>
        <w:pStyle w:val="ListParagraph"/>
        <w:numPr>
          <w:ilvl w:val="0"/>
          <w:numId w:val="2"/>
        </w:numPr>
        <w:spacing w:after="80"/>
      </w:pPr>
      <w:r>
        <w:rPr>
          <w:rFonts w:ascii="Arial" w:cs="Arial" w:eastAsia="Arial" w:hAnsi="Arial"/>
          <w:color w:val="333333"/>
          <w:sz w:val="20"/>
          <w:szCs w:val="20"/>
        </w:rPr>
        <w:t xml:space="preserve">No gas fees to users. Solana fees absorbed by platform. EVM fees via ERC-4337 paymaster on Layer 2. Cross-chain gas handled by solver network.</w:t>
      </w:r>
    </w:p>
    <w:p>
      <w:pPr>
        <w:pStyle w:val="ListParagraph"/>
        <w:numPr>
          <w:ilvl w:val="0"/>
          <w:numId w:val="2"/>
        </w:numPr>
        <w:spacing w:after="80"/>
      </w:pPr>
      <w:r>
        <w:rPr>
          <w:rFonts w:ascii="Arial" w:cs="Arial" w:eastAsia="Arial" w:hAnsi="Arial"/>
          <w:color w:val="333333"/>
          <w:sz w:val="20"/>
          <w:szCs w:val="20"/>
        </w:rPr>
        <w:t xml:space="preserve">On-chain public contacts. Contacts layer lives on-chain — portable, user-owned, not platform-locked.</w:t>
      </w:r>
    </w:p>
    <w:p>
      <w:pPr>
        <w:pStyle w:val="ListParagraph"/>
        <w:numPr>
          <w:ilvl w:val="0"/>
          <w:numId w:val="2"/>
        </w:numPr>
        <w:spacing w:after="80"/>
      </w:pPr>
      <w:r>
        <w:rPr>
          <w:rFonts w:ascii="Arial" w:cs="Arial" w:eastAsia="Arial" w:hAnsi="Arial"/>
          <w:color w:val="333333"/>
          <w:sz w:val="20"/>
          <w:szCs w:val="20"/>
        </w:rPr>
        <w:t xml:space="preserve">Agents analyze. Users decide. Wallets execute. The signing step is always and exclusively human-initiated.</w:t>
      </w:r>
    </w:p>
    <w:p>
      <w:r>
        <w:t xml:space="preserve"/>
      </w:r>
    </w:p>
    <w:p>
      <w:pPr>
        <w:spacing w:after="80" w:before="240"/>
      </w:pPr>
      <w:r>
        <w:rPr>
          <w:rFonts w:ascii="Arial" w:cs="Arial" w:eastAsia="Arial" w:hAnsi="Arial"/>
          <w:b/>
          <w:bCs/>
          <w:color w:val="2D1A8A"/>
          <w:sz w:val="24"/>
          <w:szCs w:val="24"/>
        </w:rPr>
        <w:t xml:space="preserve">The Six-Agent AI Coordination Stack</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200"/>
        <w:gridCol w:w="5360"/>
        <w:gridCol w:w="1800"/>
      </w:tblGrid>
      <w:tr>
        <w:tc>
          <w:tcPr>
            <w:tcW w:type="dxa" w:w="22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r>
              <w:rPr>
                <w:rFonts w:ascii="Arial" w:cs="Arial" w:eastAsia="Arial" w:hAnsi="Arial"/>
                <w:b/>
                <w:bCs/>
                <w:color w:val="FFFFFF"/>
                <w:sz w:val="19"/>
                <w:szCs w:val="19"/>
              </w:rPr>
              <w:t xml:space="preserve">Agent</w:t>
            </w:r>
          </w:p>
        </w:tc>
        <w:tc>
          <w:tcPr>
            <w:tcW w:type="dxa" w:w="536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r>
              <w:rPr>
                <w:rFonts w:ascii="Arial" w:cs="Arial" w:eastAsia="Arial" w:hAnsi="Arial"/>
                <w:b/>
                <w:bCs/>
                <w:color w:val="FFFFFF"/>
                <w:sz w:val="19"/>
                <w:szCs w:val="19"/>
              </w:rPr>
              <w:t xml:space="preserve">Function</w:t>
            </w:r>
          </w:p>
        </w:tc>
        <w:tc>
          <w:tcPr>
            <w:tcW w:type="dxa" w:w="18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r>
              <w:rPr>
                <w:rFonts w:ascii="Arial" w:cs="Arial" w:eastAsia="Arial" w:hAnsi="Arial"/>
                <w:b/>
                <w:bCs/>
                <w:color w:val="FFFFFF"/>
                <w:sz w:val="19"/>
                <w:szCs w:val="19"/>
              </w:rPr>
              <w:t xml:space="preserve">Open Source</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2D1A8A"/>
                <w:sz w:val="19"/>
                <w:szCs w:val="19"/>
              </w:rPr>
              <w:t xml:space="preserve">Market Intelligence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19"/>
                <w:szCs w:val="19"/>
              </w:rPr>
              <w:t xml:space="preserve">Real-time price, liquidity, volatility, and market context analysis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4B2FB8"/>
                <w:sz w:val="19"/>
                <w:szCs w:val="19"/>
              </w:rPr>
              <w:t xml:space="preserve">Yes — SDK</w:t>
            </w:r>
          </w:p>
        </w:tc>
      </w:tr>
      <w:tr>
        <w:tc>
          <w:tcPr>
            <w:tcW w:type="dxa" w:w="22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b/>
                <w:bCs/>
                <w:color w:val="2D1A8A"/>
                <w:sz w:val="19"/>
                <w:szCs w:val="19"/>
              </w:rPr>
              <w:t xml:space="preserve">Trade Safety</w:t>
            </w:r>
          </w:p>
        </w:tc>
        <w:tc>
          <w:tcPr>
            <w:tcW w:type="dxa" w:w="53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color w:val="333333"/>
                <w:sz w:val="19"/>
                <w:szCs w:val="19"/>
              </w:rPr>
              <w:t xml:space="preserve">Pre-trade simulation, contract audit checking, honeypot detection, slippage warning</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color w:val="4B2FB8"/>
                <w:sz w:val="19"/>
                <w:szCs w:val="19"/>
              </w:rPr>
              <w:t xml:space="preserve">Yes — SDK</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2D1A8A"/>
                <w:sz w:val="19"/>
                <w:szCs w:val="19"/>
              </w:rPr>
              <w:t xml:space="preserve">Counterparty Intelligence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19"/>
                <w:szCs w:val="19"/>
              </w:rPr>
              <w:t xml:space="preserve">On-chain history, wallet age, transaction patterns, trust signal generation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4B2FB8"/>
                <w:sz w:val="19"/>
                <w:szCs w:val="19"/>
              </w:rPr>
              <w:t xml:space="preserve">Yes — SDK</w:t>
            </w:r>
          </w:p>
        </w:tc>
      </w:tr>
      <w:tr>
        <w:tc>
          <w:tcPr>
            <w:tcW w:type="dxa" w:w="22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b/>
                <w:bCs/>
                <w:color w:val="2D1A8A"/>
                <w:sz w:val="19"/>
                <w:szCs w:val="19"/>
              </w:rPr>
              <w:t xml:space="preserve">Portfolio Intelligence</w:t>
            </w:r>
          </w:p>
        </w:tc>
        <w:tc>
          <w:tcPr>
            <w:tcW w:type="dxa" w:w="53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color w:val="333333"/>
                <w:sz w:val="19"/>
                <w:szCs w:val="19"/>
              </w:rPr>
              <w:t xml:space="preserve">Unified Solana + EVM portfolio view, performance, exposure analysis</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color w:val="4B2FB8"/>
                <w:sz w:val="19"/>
                <w:szCs w:val="19"/>
              </w:rPr>
              <w:t xml:space="preserve">Yes — SDK</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color w:val="2D1A8A"/>
                <w:sz w:val="19"/>
                <w:szCs w:val="19"/>
              </w:rPr>
              <w:t xml:space="preserve">Language Agent</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19"/>
                <w:szCs w:val="19"/>
              </w:rPr>
              <w:t xml:space="preserve">Everyday / Informed / Pro rendering. All UI text, alerts, and risk summaries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4B2FB8"/>
                <w:sz w:val="19"/>
                <w:szCs w:val="19"/>
              </w:rPr>
              <w:t xml:space="preserve">Yes — API</w:t>
            </w:r>
          </w:p>
        </w:tc>
      </w:tr>
      <w:tr>
        <w:tc>
          <w:tcPr>
            <w:tcW w:type="dxa" w:w="22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b/>
                <w:bCs/>
                <w:color w:val="2D1A8A"/>
                <w:sz w:val="19"/>
                <w:szCs w:val="19"/>
              </w:rPr>
              <w:t xml:space="preserve">Orchestrator</w:t>
            </w:r>
          </w:p>
        </w:tc>
        <w:tc>
          <w:tcPr>
            <w:tcW w:type="dxa" w:w="53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color w:val="333333"/>
                <w:sz w:val="19"/>
                <w:szCs w:val="19"/>
              </w:rPr>
              <w:t xml:space="preserve">Supervisor coordinating all five agents. State management and decision routing</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color w:val="4B2FB8"/>
                <w:sz w:val="19"/>
                <w:szCs w:val="19"/>
              </w:rPr>
              <w:t xml:space="preserve">Yes — SDK</w:t>
            </w:r>
          </w:p>
        </w:tc>
      </w:tr>
    </w:tbl>
    <w:p>
      <w:r>
        <w:t xml:space="preserve"/>
      </w:r>
    </w:p>
    <w:p>
      <w:pPr>
        <w:pBdr>
          <w:bottom w:val="single" w:color="4B2FB8" w:sz="6" w:space="1"/>
        </w:pBdr>
        <w:spacing w:after="200"/>
      </w:pPr>
      <w:r>
        <w:t xml:space="preserve"/>
      </w:r>
    </w:p>
    <w:p>
      <w:r>
        <w:br w:type="page"/>
      </w:r>
    </w:p>
    <w:p>
      <w:pPr>
        <w:spacing w:after="120" w:before="300"/>
      </w:pPr>
      <w:r>
        <w:rPr>
          <w:rFonts w:ascii="Arial" w:cs="Arial" w:eastAsia="Arial" w:hAnsi="Arial"/>
          <w:b/>
          <w:bCs/>
          <w:color w:val="1B0F5E"/>
          <w:sz w:val="32"/>
          <w:szCs w:val="32"/>
        </w:rPr>
        <w:t xml:space="preserve">Section 5 — Business Model</w:t>
      </w:r>
    </w:p>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4B2FB8" w:sz="12"/>
              <w:bottom w:val="none" w:color="FFFFFF" w:sz="0"/>
              <w:right w:val="none" w:color="FFFFFF" w:sz="0"/>
            </w:tcBorders>
            <w:shd w:fill="F5F3FF" w:val="clear"/>
            <w:tcMar>
              <w:top w:type="dxa" w:w="100"/>
              <w:left w:type="dxa" w:w="200"/>
              <w:bottom w:type="dxa" w:w="100"/>
              <w:right w:type="dxa" w:w="120"/>
            </w:tcMar>
          </w:tcPr>
          <w:p>
            <w:r>
              <w:rPr>
                <w:rFonts w:ascii="Arial" w:cs="Arial" w:eastAsia="Arial" w:hAnsi="Arial"/>
                <w:b/>
                <w:bCs/>
                <w:color w:val="4B2FB8"/>
                <w:sz w:val="19"/>
                <w:szCs w:val="19"/>
              </w:rPr>
              <w:t xml:space="preserve">One Revenue Stream</w:t>
            </w:r>
          </w:p>
          <w:p>
            <w:pPr>
              <w:spacing w:after="0"/>
            </w:pPr>
            <w:r>
              <w:rPr>
                <w:rFonts w:ascii="Arial" w:cs="Arial" w:eastAsia="Arial" w:hAnsi="Arial"/>
                <w:i/>
                <w:iCs/>
                <w:color w:val="444444"/>
                <w:sz w:val="19"/>
                <w:szCs w:val="19"/>
              </w:rPr>
              <w:t xml:space="preserve">The spread on trades. Disclosed in one sentence. Always below competitors. No hidden fees, no premium tiers, no data sale, no advertising. We make more when users trade more — fully aligned incentives.</w:t>
            </w:r>
          </w:p>
        </w:tc>
      </w:tr>
    </w:tbl>
    <w:p>
      <w:r>
        <w:t xml:space="preserve"/>
      </w:r>
    </w:p>
    <w:p>
      <w:pPr>
        <w:spacing w:after="80" w:before="240"/>
      </w:pPr>
      <w:r>
        <w:rPr>
          <w:rFonts w:ascii="Arial" w:cs="Arial" w:eastAsia="Arial" w:hAnsi="Arial"/>
          <w:b/>
          <w:bCs/>
          <w:color w:val="2D1A8A"/>
          <w:sz w:val="24"/>
          <w:szCs w:val="24"/>
        </w:rPr>
        <w:t xml:space="preserve">Spread Comparison</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3500"/>
        <w:gridCol w:w="2000"/>
        <w:gridCol w:w="3860"/>
      </w:tblGrid>
      <w:tr>
        <w:tc>
          <w:tcPr>
            <w:tcW w:type="dxa" w:w="35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r>
              <w:rPr>
                <w:rFonts w:ascii="Arial" w:cs="Arial" w:eastAsia="Arial" w:hAnsi="Arial"/>
                <w:b/>
                <w:bCs/>
                <w:color w:val="FFFFFF"/>
                <w:sz w:val="19"/>
                <w:szCs w:val="19"/>
              </w:rPr>
              <w:t xml:space="preserve">Platform</w:t>
            </w:r>
          </w:p>
        </w:tc>
        <w:tc>
          <w:tcPr>
            <w:tcW w:type="dxa" w:w="20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jc w:val="center"/>
            </w:pPr>
            <w:r>
              <w:rPr>
                <w:rFonts w:ascii="Arial" w:cs="Arial" w:eastAsia="Arial" w:hAnsi="Arial"/>
                <w:b/>
                <w:bCs/>
                <w:color w:val="FFFFFF"/>
                <w:sz w:val="19"/>
                <w:szCs w:val="19"/>
              </w:rPr>
              <w:t xml:space="preserve">Spread</w:t>
            </w:r>
          </w:p>
        </w:tc>
        <w:tc>
          <w:tcPr>
            <w:tcW w:type="dxa" w:w="386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r>
              <w:rPr>
                <w:rFonts w:ascii="Arial" w:cs="Arial" w:eastAsia="Arial" w:hAnsi="Arial"/>
                <w:b/>
                <w:bCs/>
                <w:color w:val="FFFFFF"/>
                <w:sz w:val="19"/>
                <w:szCs w:val="19"/>
              </w:rPr>
              <w:t xml:space="preserve">Disclosed?</w:t>
            </w:r>
          </w:p>
        </w:tc>
      </w:tr>
      <w:tr>
        <w:tc>
          <w:tcPr>
            <w:tcW w:type="dxa" w:w="3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2D1A8A"/>
                <w:sz w:val="20"/>
                <w:szCs w:val="20"/>
              </w:rPr>
              <w:t xml:space="preserve">Coinbase</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~2.5%</w:t>
            </w:r>
          </w:p>
        </w:tc>
        <w:tc>
          <w:tcPr>
            <w:tcW w:type="dxa" w:w="38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33333"/>
                <w:sz w:val="20"/>
                <w:szCs w:val="20"/>
              </w:rPr>
              <w:t xml:space="preserve">Partially</w:t>
            </w:r>
          </w:p>
        </w:tc>
      </w:tr>
      <w:tr>
        <w:tc>
          <w:tcPr>
            <w:tcW w:type="dxa" w:w="35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b w:val="false"/>
                <w:bCs w:val="false"/>
                <w:color w:val="2D1A8A"/>
                <w:sz w:val="20"/>
                <w:szCs w:val="20"/>
              </w:rPr>
              <w:t xml:space="preserve">Cash App</w:t>
            </w:r>
          </w:p>
        </w:tc>
        <w:tc>
          <w:tcPr>
            <w:tcW w:type="dxa" w:w="20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~1.75%</w:t>
            </w:r>
          </w:p>
        </w:tc>
        <w:tc>
          <w:tcPr>
            <w:tcW w:type="dxa" w:w="38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b w:val="false"/>
                <w:bCs w:val="false"/>
                <w:color w:val="333333"/>
                <w:sz w:val="20"/>
                <w:szCs w:val="20"/>
              </w:rPr>
              <w:t xml:space="preserve">No</w:t>
            </w:r>
          </w:p>
        </w:tc>
      </w:tr>
      <w:tr>
        <w:tc>
          <w:tcPr>
            <w:tcW w:type="dxa" w:w="3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2D1A8A"/>
                <w:sz w:val="20"/>
                <w:szCs w:val="20"/>
              </w:rPr>
              <w:t xml:space="preserve">PayPal</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~3.49%</w:t>
            </w:r>
          </w:p>
        </w:tc>
        <w:tc>
          <w:tcPr>
            <w:tcW w:type="dxa" w:w="38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33333"/>
                <w:sz w:val="20"/>
                <w:szCs w:val="20"/>
              </w:rPr>
              <w:t xml:space="preserve">No</w:t>
            </w:r>
          </w:p>
        </w:tc>
      </w:tr>
      <w:tr>
        <w:tc>
          <w:tcPr>
            <w:tcW w:type="dxa" w:w="3500"/>
            <w:tcBorders>
              <w:top w:val="single" w:color="CCCCCC" w:sz="1"/>
              <w:left w:val="single" w:color="CCCCCC" w:sz="1"/>
              <w:bottom w:val="single" w:color="CCCCCC" w:sz="1"/>
              <w:right w:val="single" w:color="CCCCCC" w:sz="1"/>
            </w:tcBorders>
            <w:shd w:fill="4B2FB8" w:val="clear"/>
            <w:tcMar>
              <w:top w:type="dxa" w:w="80"/>
              <w:left w:type="dxa" w:w="120"/>
              <w:bottom w:type="dxa" w:w="80"/>
              <w:right w:type="dxa" w:w="120"/>
            </w:tcMar>
          </w:tcPr>
          <w:p>
            <w:r>
              <w:rPr>
                <w:rFonts w:ascii="Arial" w:cs="Arial" w:eastAsia="Arial" w:hAnsi="Arial"/>
                <w:b/>
                <w:bCs/>
                <w:color w:val="FFFFFF"/>
                <w:sz w:val="20"/>
                <w:szCs w:val="20"/>
              </w:rPr>
              <w:t xml:space="preserve">Velcro Wallet</w:t>
            </w:r>
          </w:p>
        </w:tc>
        <w:tc>
          <w:tcPr>
            <w:tcW w:type="dxa" w:w="2000"/>
            <w:tcBorders>
              <w:top w:val="single" w:color="CCCCCC" w:sz="1"/>
              <w:left w:val="single" w:color="CCCCCC" w:sz="1"/>
              <w:bottom w:val="single" w:color="CCCCCC" w:sz="1"/>
              <w:right w:val="single" w:color="CCCCCC" w:sz="1"/>
            </w:tcBorders>
            <w:shd w:fill="4B2FB8"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&lt; 0.75%</w:t>
            </w:r>
          </w:p>
        </w:tc>
        <w:tc>
          <w:tcPr>
            <w:tcW w:type="dxa" w:w="3860"/>
            <w:tcBorders>
              <w:top w:val="single" w:color="CCCCCC" w:sz="1"/>
              <w:left w:val="single" w:color="CCCCCC" w:sz="1"/>
              <w:bottom w:val="single" w:color="CCCCCC" w:sz="1"/>
              <w:right w:val="single" w:color="CCCCCC" w:sz="1"/>
            </w:tcBorders>
            <w:shd w:fill="4B2FB8" w:val="clear"/>
            <w:tcMar>
              <w:top w:type="dxa" w:w="80"/>
              <w:left w:type="dxa" w:w="120"/>
              <w:bottom w:type="dxa" w:w="80"/>
              <w:right w:type="dxa" w:w="120"/>
            </w:tcMar>
          </w:tcPr>
          <w:p>
            <w:r>
              <w:rPr>
                <w:rFonts w:ascii="Arial" w:cs="Arial" w:eastAsia="Arial" w:hAnsi="Arial"/>
                <w:b/>
                <w:bCs/>
                <w:color w:val="FFFFFF"/>
                <w:sz w:val="20"/>
                <w:szCs w:val="20"/>
              </w:rPr>
              <w:t xml:space="preserve">Yes — always</w:t>
            </w:r>
          </w:p>
        </w:tc>
      </w:tr>
    </w:tbl>
    <w:p>
      <w:r>
        <w:t xml:space="preserve"/>
      </w:r>
    </w:p>
    <w:p>
      <w:pPr>
        <w:pBdr>
          <w:bottom w:val="single" w:color="4B2FB8" w:sz="6" w:space="1"/>
        </w:pBdr>
        <w:spacing w:after="200"/>
      </w:pPr>
      <w:r>
        <w:t xml:space="preserve"/>
      </w:r>
    </w:p>
    <w:p>
      <w:r>
        <w:br w:type="page"/>
      </w:r>
    </w:p>
    <w:p>
      <w:pPr>
        <w:spacing w:after="120" w:before="300"/>
      </w:pPr>
      <w:r>
        <w:rPr>
          <w:rFonts w:ascii="Arial" w:cs="Arial" w:eastAsia="Arial" w:hAnsi="Arial"/>
          <w:b/>
          <w:bCs/>
          <w:color w:val="1B0F5E"/>
          <w:sz w:val="32"/>
          <w:szCs w:val="32"/>
        </w:rPr>
        <w:t xml:space="preserve">Section 6 — Milestones &amp; Budget</w:t>
      </w:r>
    </w:p>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2D1A8A" w:sz="12"/>
              <w:bottom w:val="none" w:color="FFFFFF" w:sz="0"/>
              <w:right w:val="none" w:color="FFFFFF" w:sz="0"/>
            </w:tcBorders>
            <w:shd w:fill="F5F3FF" w:val="clear"/>
            <w:tcMar>
              <w:top w:type="dxa" w:w="100"/>
              <w:left w:type="dxa" w:w="200"/>
              <w:bottom w:type="dxa" w:w="100"/>
              <w:right w:type="dxa" w:w="120"/>
            </w:tcMar>
          </w:tcPr>
          <w:p>
            <w:r>
              <w:rPr>
                <w:rFonts w:ascii="Arial" w:cs="Arial" w:eastAsia="Arial" w:hAnsi="Arial"/>
                <w:b/>
                <w:bCs/>
                <w:color w:val="2D1A8A"/>
                <w:sz w:val="19"/>
                <w:szCs w:val="19"/>
              </w:rPr>
              <w:t xml:space="preserve">Funding Total: $150,000 USD</w:t>
            </w:r>
          </w:p>
          <w:p>
            <w:pPr>
              <w:spacing w:after="0"/>
            </w:pPr>
            <w:r>
              <w:rPr>
                <w:rFonts w:ascii="Arial" w:cs="Arial" w:eastAsia="Arial" w:hAnsi="Arial"/>
                <w:i/>
                <w:iCs/>
                <w:color w:val="444444"/>
                <w:sz w:val="19"/>
                <w:szCs w:val="19"/>
              </w:rPr>
              <w:t xml:space="preserve">Structured across four milestones with verifiable deliverables. Funds released upon milestone completion and funder review.</w:t>
            </w:r>
          </w:p>
        </w:tc>
      </w:tr>
    </w:tbl>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600"/>
        <w:gridCol w:w="5160"/>
        <w:gridCol w:w="2000"/>
        <w:gridCol w:w="1600"/>
      </w:tblGrid>
      <w:tr>
        <w:tc>
          <w:tcPr>
            <w:tcW w:type="dxa" w:w="600"/>
            <w:tcBorders>
              <w:top w:val="single" w:color="CCCCCC" w:sz="1"/>
              <w:left w:val="single" w:color="CCCCCC" w:sz="1"/>
              <w:bottom w:val="single" w:color="CCCCCC" w:sz="1"/>
              <w:right w:val="single" w:color="CCCCCC" w:sz="1"/>
            </w:tcBorders>
            <w:shd w:fill="1B0F5E" w:val="clear"/>
            <w:tcMar>
              <w:top w:type="dxa" w:w="80"/>
              <w:left w:type="dxa" w:w="80"/>
              <w:bottom w:type="dxa" w:w="80"/>
              <w:right w:type="dxa" w:w="80"/>
            </w:tcMar>
          </w:tcPr>
          <w:p>
            <w:pPr>
              <w:jc w:val="center"/>
            </w:pPr>
            <w:r>
              <w:rPr>
                <w:rFonts w:ascii="Arial" w:cs="Arial" w:eastAsia="Arial" w:hAnsi="Arial"/>
                <w:b/>
                <w:bCs/>
                <w:color w:val="FFFFFF"/>
                <w:sz w:val="19"/>
                <w:szCs w:val="19"/>
              </w:rPr>
              <w:t xml:space="preserve">#</w:t>
            </w:r>
          </w:p>
        </w:tc>
        <w:tc>
          <w:tcPr>
            <w:tcW w:type="dxa" w:w="516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r>
              <w:rPr>
                <w:rFonts w:ascii="Arial" w:cs="Arial" w:eastAsia="Arial" w:hAnsi="Arial"/>
                <w:b/>
                <w:bCs/>
                <w:color w:val="FFFFFF"/>
                <w:sz w:val="19"/>
                <w:szCs w:val="19"/>
              </w:rPr>
              <w:t xml:space="preserve">Milestone</w:t>
            </w:r>
          </w:p>
        </w:tc>
        <w:tc>
          <w:tcPr>
            <w:tcW w:type="dxa" w:w="20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jc w:val="center"/>
            </w:pPr>
            <w:r>
              <w:rPr>
                <w:rFonts w:ascii="Arial" w:cs="Arial" w:eastAsia="Arial" w:hAnsi="Arial"/>
                <w:b/>
                <w:bCs/>
                <w:color w:val="FFFFFF"/>
                <w:sz w:val="19"/>
                <w:szCs w:val="19"/>
              </w:rPr>
              <w:t xml:space="preserve">Timeline</w:t>
            </w:r>
          </w:p>
        </w:tc>
        <w:tc>
          <w:tcPr>
            <w:tcW w:type="dxa" w:w="1600"/>
            <w:tcBorders>
              <w:top w:val="single" w:color="CCCCCC" w:sz="1"/>
              <w:left w:val="single" w:color="CCCCCC" w:sz="1"/>
              <w:bottom w:val="single" w:color="CCCCCC" w:sz="1"/>
              <w:right w:val="single" w:color="CCCCCC" w:sz="1"/>
            </w:tcBorders>
            <w:shd w:fill="1B0F5E" w:val="clear"/>
            <w:tcMar>
              <w:top w:type="dxa" w:w="80"/>
              <w:left w:type="dxa" w:w="80"/>
              <w:bottom w:type="dxa" w:w="80"/>
              <w:right w:type="dxa" w:w="80"/>
            </w:tcMar>
          </w:tcPr>
          <w:p>
            <w:pPr>
              <w:jc w:val="center"/>
            </w:pPr>
            <w:r>
              <w:rPr>
                <w:rFonts w:ascii="Arial" w:cs="Arial" w:eastAsia="Arial" w:hAnsi="Arial"/>
                <w:b/>
                <w:bCs/>
                <w:color w:val="FFFFFF"/>
                <w:sz w:val="19"/>
                <w:szCs w:val="19"/>
              </w:rPr>
              <w:t xml:space="preserve">Amount</w:t>
            </w:r>
          </w:p>
        </w:tc>
      </w:tr>
      <w:tr>
        <w:tc>
          <w:tcPr>
            <w:tcW w:type="dxa" w:w="600"/>
            <w:tcBorders>
              <w:top w:val="single" w:color="CCCCCC" w:sz="1"/>
              <w:left w:val="single" w:color="CCCCCC" w:sz="1"/>
              <w:bottom w:val="single" w:color="CCCCCC" w:sz="1"/>
              <w:right w:val="single" w:color="CCCCCC" w:sz="1"/>
            </w:tcBorders>
            <w:shd w:fill="FFFFFF" w:val="clear"/>
            <w:tcMar>
              <w:top w:type="dxa" w:w="80"/>
              <w:left w:type="dxa" w:w="80"/>
              <w:bottom w:type="dxa" w:w="80"/>
              <w:right w:type="dxa" w:w="80"/>
            </w:tcMar>
          </w:tcPr>
          <w:p>
            <w:pPr>
              <w:jc w:val="center"/>
            </w:pPr>
            <w:r>
              <w:rPr>
                <w:rFonts w:ascii="Arial" w:cs="Arial" w:eastAsia="Arial" w:hAnsi="Arial"/>
                <w:b/>
                <w:bCs/>
                <w:color w:val="4B2FB8"/>
                <w:sz w:val="19"/>
                <w:szCs w:val="19"/>
              </w:rPr>
              <w:t xml:space="preserve">M1</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19"/>
                <w:szCs w:val="19"/>
              </w:rPr>
              <w:t xml:space="preserve">Architecture &amp; Integration. Open source repo live. velcro.dev + velcro-technologies.com published. Agent coordination architecture documented.</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color w:val="333333"/>
                <w:sz w:val="19"/>
                <w:szCs w:val="19"/>
              </w:rPr>
              <w:t xml:space="preserve">Month 1–2</w:t>
            </w:r>
          </w:p>
        </w:tc>
        <w:tc>
          <w:tcPr>
            <w:tcW w:type="dxa" w:w="1600"/>
            <w:tcBorders>
              <w:top w:val="single" w:color="CCCCCC" w:sz="1"/>
              <w:left w:val="single" w:color="CCCCCC" w:sz="1"/>
              <w:bottom w:val="single" w:color="CCCCCC" w:sz="1"/>
              <w:right w:val="single" w:color="CCCCCC" w:sz="1"/>
            </w:tcBorders>
            <w:shd w:fill="FFFFFF" w:val="clear"/>
            <w:tcMar>
              <w:top w:type="dxa" w:w="80"/>
              <w:left w:type="dxa" w:w="80"/>
              <w:bottom w:type="dxa" w:w="80"/>
              <w:right w:type="dxa" w:w="80"/>
            </w:tcMar>
          </w:tcPr>
          <w:p>
            <w:pPr>
              <w:jc w:val="center"/>
            </w:pPr>
            <w:r>
              <w:rPr>
                <w:rFonts w:ascii="Arial" w:cs="Arial" w:eastAsia="Arial" w:hAnsi="Arial"/>
                <w:b/>
                <w:bCs/>
                <w:color w:val="2D1A8A"/>
                <w:sz w:val="19"/>
                <w:szCs w:val="19"/>
              </w:rPr>
              <w:t xml:space="preserve">$25,000</w:t>
            </w:r>
          </w:p>
        </w:tc>
      </w:tr>
      <w:tr>
        <w:tc>
          <w:tcPr>
            <w:tcW w:type="dxa" w:w="600"/>
            <w:tcBorders>
              <w:top w:val="single" w:color="CCCCCC" w:sz="1"/>
              <w:left w:val="single" w:color="CCCCCC" w:sz="1"/>
              <w:bottom w:val="single" w:color="CCCCCC" w:sz="1"/>
              <w:right w:val="single" w:color="CCCCCC" w:sz="1"/>
            </w:tcBorders>
            <w:shd w:fill="F5F3FF" w:val="clear"/>
            <w:tcMar>
              <w:top w:type="dxa" w:w="80"/>
              <w:left w:type="dxa" w:w="80"/>
              <w:bottom w:type="dxa" w:w="80"/>
              <w:right w:type="dxa" w:w="80"/>
            </w:tcMar>
          </w:tcPr>
          <w:p>
            <w:pPr>
              <w:jc w:val="center"/>
            </w:pPr>
            <w:r>
              <w:rPr>
                <w:rFonts w:ascii="Arial" w:cs="Arial" w:eastAsia="Arial" w:hAnsi="Arial"/>
                <w:b/>
                <w:bCs/>
                <w:color w:val="4B2FB8"/>
                <w:sz w:val="19"/>
                <w:szCs w:val="19"/>
              </w:rPr>
              <w:t xml:space="preserve">M2</w:t>
            </w:r>
          </w:p>
        </w:tc>
        <w:tc>
          <w:tcPr>
            <w:tcW w:type="dxa" w:w="51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color w:val="333333"/>
                <w:sz w:val="19"/>
                <w:szCs w:val="19"/>
              </w:rPr>
              <w:t xml:space="preserve">Core Wallet V1 on testnet. Trade Safety Agent + Counterparty Agent + Language Toggle (Everyday + Pro). P2P trade flow with cross-chain execution live.</w:t>
            </w:r>
          </w:p>
        </w:tc>
        <w:tc>
          <w:tcPr>
            <w:tcW w:type="dxa" w:w="20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color w:val="333333"/>
                <w:sz w:val="19"/>
                <w:szCs w:val="19"/>
              </w:rPr>
              <w:t xml:space="preserve">Month 3–4</w:t>
            </w:r>
          </w:p>
        </w:tc>
        <w:tc>
          <w:tcPr>
            <w:tcW w:type="dxa" w:w="1600"/>
            <w:tcBorders>
              <w:top w:val="single" w:color="CCCCCC" w:sz="1"/>
              <w:left w:val="single" w:color="CCCCCC" w:sz="1"/>
              <w:bottom w:val="single" w:color="CCCCCC" w:sz="1"/>
              <w:right w:val="single" w:color="CCCCCC" w:sz="1"/>
            </w:tcBorders>
            <w:shd w:fill="F5F3FF" w:val="clear"/>
            <w:tcMar>
              <w:top w:type="dxa" w:w="80"/>
              <w:left w:type="dxa" w:w="80"/>
              <w:bottom w:type="dxa" w:w="80"/>
              <w:right w:type="dxa" w:w="80"/>
            </w:tcMar>
          </w:tcPr>
          <w:p>
            <w:pPr>
              <w:jc w:val="center"/>
            </w:pPr>
            <w:r>
              <w:rPr>
                <w:rFonts w:ascii="Arial" w:cs="Arial" w:eastAsia="Arial" w:hAnsi="Arial"/>
                <w:b/>
                <w:bCs/>
                <w:color w:val="2D1A8A"/>
                <w:sz w:val="19"/>
                <w:szCs w:val="19"/>
              </w:rPr>
              <w:t xml:space="preserve">$40,000</w:t>
            </w:r>
          </w:p>
        </w:tc>
      </w:tr>
      <w:tr>
        <w:tc>
          <w:tcPr>
            <w:tcW w:type="dxa" w:w="600"/>
            <w:tcBorders>
              <w:top w:val="single" w:color="CCCCCC" w:sz="1"/>
              <w:left w:val="single" w:color="CCCCCC" w:sz="1"/>
              <w:bottom w:val="single" w:color="CCCCCC" w:sz="1"/>
              <w:right w:val="single" w:color="CCCCCC" w:sz="1"/>
            </w:tcBorders>
            <w:shd w:fill="FFFFFF" w:val="clear"/>
            <w:tcMar>
              <w:top w:type="dxa" w:w="80"/>
              <w:left w:type="dxa" w:w="80"/>
              <w:bottom w:type="dxa" w:w="80"/>
              <w:right w:type="dxa" w:w="80"/>
            </w:tcMar>
          </w:tcPr>
          <w:p>
            <w:pPr>
              <w:jc w:val="center"/>
            </w:pPr>
            <w:r>
              <w:rPr>
                <w:rFonts w:ascii="Arial" w:cs="Arial" w:eastAsia="Arial" w:hAnsi="Arial"/>
                <w:b/>
                <w:bCs/>
                <w:color w:val="4B2FB8"/>
                <w:sz w:val="19"/>
                <w:szCs w:val="19"/>
              </w:rPr>
              <w:t xml:space="preserve">M3</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333333"/>
                <w:sz w:val="19"/>
                <w:szCs w:val="19"/>
              </w:rPr>
              <w:t xml:space="preserve">Third-party security audit (Zellic / OtterSec / Trail of Bits). All critical findings resolved. Audit report published publicly on velcro.dev.</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color w:val="333333"/>
                <w:sz w:val="19"/>
                <w:szCs w:val="19"/>
              </w:rPr>
              <w:t xml:space="preserve">Month 5</w:t>
            </w:r>
          </w:p>
        </w:tc>
        <w:tc>
          <w:tcPr>
            <w:tcW w:type="dxa" w:w="1600"/>
            <w:tcBorders>
              <w:top w:val="single" w:color="CCCCCC" w:sz="1"/>
              <w:left w:val="single" w:color="CCCCCC" w:sz="1"/>
              <w:bottom w:val="single" w:color="CCCCCC" w:sz="1"/>
              <w:right w:val="single" w:color="CCCCCC" w:sz="1"/>
            </w:tcBorders>
            <w:shd w:fill="FFFFFF" w:val="clear"/>
            <w:tcMar>
              <w:top w:type="dxa" w:w="80"/>
              <w:left w:type="dxa" w:w="80"/>
              <w:bottom w:type="dxa" w:w="80"/>
              <w:right w:type="dxa" w:w="80"/>
            </w:tcMar>
          </w:tcPr>
          <w:p>
            <w:pPr>
              <w:jc w:val="center"/>
            </w:pPr>
            <w:r>
              <w:rPr>
                <w:rFonts w:ascii="Arial" w:cs="Arial" w:eastAsia="Arial" w:hAnsi="Arial"/>
                <w:b/>
                <w:bCs/>
                <w:color w:val="2D1A8A"/>
                <w:sz w:val="19"/>
                <w:szCs w:val="19"/>
              </w:rPr>
              <w:t xml:space="preserve">$50,000</w:t>
            </w:r>
          </w:p>
        </w:tc>
      </w:tr>
      <w:tr>
        <w:tc>
          <w:tcPr>
            <w:tcW w:type="dxa" w:w="600"/>
            <w:tcBorders>
              <w:top w:val="single" w:color="CCCCCC" w:sz="1"/>
              <w:left w:val="single" w:color="CCCCCC" w:sz="1"/>
              <w:bottom w:val="single" w:color="CCCCCC" w:sz="1"/>
              <w:right w:val="single" w:color="CCCCCC" w:sz="1"/>
            </w:tcBorders>
            <w:shd w:fill="F5F3FF" w:val="clear"/>
            <w:tcMar>
              <w:top w:type="dxa" w:w="80"/>
              <w:left w:type="dxa" w:w="80"/>
              <w:bottom w:type="dxa" w:w="80"/>
              <w:right w:type="dxa" w:w="80"/>
            </w:tcMar>
          </w:tcPr>
          <w:p>
            <w:pPr>
              <w:jc w:val="center"/>
            </w:pPr>
            <w:r>
              <w:rPr>
                <w:rFonts w:ascii="Arial" w:cs="Arial" w:eastAsia="Arial" w:hAnsi="Arial"/>
                <w:b/>
                <w:bCs/>
                <w:color w:val="4B2FB8"/>
                <w:sz w:val="19"/>
                <w:szCs w:val="19"/>
              </w:rPr>
              <w:t xml:space="preserve">M4</w:t>
            </w:r>
          </w:p>
        </w:tc>
        <w:tc>
          <w:tcPr>
            <w:tcW w:type="dxa" w:w="51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color w:val="333333"/>
                <w:sz w:val="19"/>
                <w:szCs w:val="19"/>
              </w:rPr>
              <w:t xml:space="preserve">Mainnet launch. All six agents live. Bank integration (Plaid + Circle). Open source agent SDK published on velcro.dev.</w:t>
            </w:r>
          </w:p>
        </w:tc>
        <w:tc>
          <w:tcPr>
            <w:tcW w:type="dxa" w:w="20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color w:val="333333"/>
                <w:sz w:val="19"/>
                <w:szCs w:val="19"/>
              </w:rPr>
              <w:t xml:space="preserve">Month 6–7</w:t>
            </w:r>
          </w:p>
        </w:tc>
        <w:tc>
          <w:tcPr>
            <w:tcW w:type="dxa" w:w="1600"/>
            <w:tcBorders>
              <w:top w:val="single" w:color="CCCCCC" w:sz="1"/>
              <w:left w:val="single" w:color="CCCCCC" w:sz="1"/>
              <w:bottom w:val="single" w:color="CCCCCC" w:sz="1"/>
              <w:right w:val="single" w:color="CCCCCC" w:sz="1"/>
            </w:tcBorders>
            <w:shd w:fill="F5F3FF" w:val="clear"/>
            <w:tcMar>
              <w:top w:type="dxa" w:w="80"/>
              <w:left w:type="dxa" w:w="80"/>
              <w:bottom w:type="dxa" w:w="80"/>
              <w:right w:type="dxa" w:w="80"/>
            </w:tcMar>
          </w:tcPr>
          <w:p>
            <w:pPr>
              <w:jc w:val="center"/>
            </w:pPr>
            <w:r>
              <w:rPr>
                <w:rFonts w:ascii="Arial" w:cs="Arial" w:eastAsia="Arial" w:hAnsi="Arial"/>
                <w:b/>
                <w:bCs/>
                <w:color w:val="2D1A8A"/>
                <w:sz w:val="19"/>
                <w:szCs w:val="19"/>
              </w:rPr>
              <w:t xml:space="preserve">$35,000</w:t>
            </w:r>
          </w:p>
        </w:tc>
      </w:tr>
    </w:tbl>
    <w:p>
      <w:r>
        <w:t xml:space="preserve"/>
      </w:r>
    </w:p>
    <w:p>
      <w:pPr>
        <w:spacing w:after="80" w:before="240"/>
      </w:pPr>
      <w:r>
        <w:rPr>
          <w:rFonts w:ascii="Arial" w:cs="Arial" w:eastAsia="Arial" w:hAnsi="Arial"/>
          <w:b/>
          <w:bCs/>
          <w:color w:val="2D1A8A"/>
          <w:sz w:val="24"/>
          <w:szCs w:val="24"/>
        </w:rPr>
        <w:t xml:space="preserve">Budget Breakdown</w:t>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5760"/>
        <w:gridCol w:w="1800"/>
        <w:gridCol w:w="1800"/>
      </w:tblGrid>
      <w:tr>
        <w:tc>
          <w:tcPr>
            <w:tcW w:type="dxa" w:w="576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r>
              <w:rPr>
                <w:rFonts w:ascii="Arial" w:cs="Arial" w:eastAsia="Arial" w:hAnsi="Arial"/>
                <w:b/>
                <w:bCs/>
                <w:color w:val="FFFFFF"/>
                <w:sz w:val="19"/>
                <w:szCs w:val="19"/>
              </w:rPr>
              <w:t xml:space="preserve">Item</w:t>
            </w:r>
          </w:p>
        </w:tc>
        <w:tc>
          <w:tcPr>
            <w:tcW w:type="dxa" w:w="18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jc w:val="center"/>
            </w:pPr>
            <w:r>
              <w:rPr>
                <w:rFonts w:ascii="Arial" w:cs="Arial" w:eastAsia="Arial" w:hAnsi="Arial"/>
                <w:b/>
                <w:bCs/>
                <w:color w:val="FFFFFF"/>
                <w:sz w:val="19"/>
                <w:szCs w:val="19"/>
              </w:rPr>
              <w:t xml:space="preserve">Amount</w:t>
            </w:r>
          </w:p>
        </w:tc>
        <w:tc>
          <w:tcPr>
            <w:tcW w:type="dxa" w:w="18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jc w:val="center"/>
            </w:pPr>
            <w:r>
              <w:rPr>
                <w:rFonts w:ascii="Arial" w:cs="Arial" w:eastAsia="Arial" w:hAnsi="Arial"/>
                <w:b/>
                <w:bCs/>
                <w:color w:val="FFFFFF"/>
                <w:sz w:val="19"/>
                <w:szCs w:val="19"/>
              </w:rPr>
              <w:t xml:space="preserve">% of Total</w:t>
            </w:r>
          </w:p>
        </w:tc>
      </w:tr>
      <w:tr>
        <w:tc>
          <w:tcPr>
            <w:tcW w:type="dxa" w:w="5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33333"/>
                <w:sz w:val="20"/>
                <w:szCs w:val="20"/>
              </w:rPr>
              <w:t xml:space="preserve">Core wallet development (Solana + EVM + cross-chain)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$45,000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30%</w:t>
            </w:r>
          </w:p>
        </w:tc>
      </w:tr>
      <w:tr>
        <w:tc>
          <w:tcPr>
            <w:tcW w:type="dxa" w:w="57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b w:val="false"/>
                <w:bCs w:val="false"/>
                <w:color w:val="333333"/>
                <w:sz w:val="20"/>
                <w:szCs w:val="20"/>
              </w:rPr>
              <w:t xml:space="preserve">Six-agent AI coordination stack</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$30,000</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20%</w:t>
            </w:r>
          </w:p>
        </w:tc>
      </w:tr>
      <w:tr>
        <w:tc>
          <w:tcPr>
            <w:tcW w:type="dxa" w:w="5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33333"/>
                <w:sz w:val="20"/>
                <w:szCs w:val="20"/>
              </w:rPr>
              <w:t xml:space="preserve">Third-party security audit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$50,000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33%</w:t>
            </w:r>
          </w:p>
        </w:tc>
      </w:tr>
      <w:tr>
        <w:tc>
          <w:tcPr>
            <w:tcW w:type="dxa" w:w="57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b w:val="false"/>
                <w:bCs w:val="false"/>
                <w:color w:val="333333"/>
                <w:sz w:val="20"/>
                <w:szCs w:val="20"/>
              </w:rPr>
              <w:t xml:space="preserve">Swiss GmbH legal formation + FINMA compliance review</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$12,000</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8%</w:t>
            </w:r>
          </w:p>
        </w:tc>
      </w:tr>
      <w:tr>
        <w:tc>
          <w:tcPr>
            <w:tcW w:type="dxa" w:w="5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val="false"/>
                <w:bCs w:val="false"/>
                <w:color w:val="333333"/>
                <w:sz w:val="20"/>
                <w:szCs w:val="20"/>
              </w:rPr>
              <w:t xml:space="preserve">Infrastructure APIs (Helius, Alchemy, GoPlus, etc.)</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$8,000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5%</w:t>
            </w:r>
          </w:p>
        </w:tc>
      </w:tr>
      <w:tr>
        <w:tc>
          <w:tcPr>
            <w:tcW w:type="dxa" w:w="57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r>
              <w:rPr>
                <w:rFonts w:ascii="Arial" w:cs="Arial" w:eastAsia="Arial" w:hAnsi="Arial"/>
                <w:b w:val="false"/>
                <w:bCs w:val="false"/>
                <w:color w:val="333333"/>
                <w:sz w:val="20"/>
                <w:szCs w:val="20"/>
              </w:rPr>
              <w:t xml:space="preserve">Open source SDK + velcro.dev documentation</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$5,000</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jc w:val="center"/>
            </w:pPr>
            <w:r>
              <w:rPr>
                <w:rFonts w:ascii="Arial" w:cs="Arial" w:eastAsia="Arial" w:hAnsi="Arial"/>
                <w:b w:val="false"/>
                <w:bCs w:val="false"/>
                <w:color w:val="333333"/>
                <w:sz w:val="20"/>
                <w:szCs w:val="20"/>
              </w:rPr>
              <w:t xml:space="preserve">3%</w:t>
            </w:r>
          </w:p>
        </w:tc>
      </w:tr>
      <w:tr>
        <w:tc>
          <w:tcPr>
            <w:tcW w:type="dxa" w:w="5760"/>
            <w:tcBorders>
              <w:top w:val="single" w:color="CCCCCC" w:sz="1"/>
              <w:left w:val="single" w:color="CCCCCC" w:sz="1"/>
              <w:bottom w:val="single" w:color="CCCCCC" w:sz="1"/>
              <w:right w:val="single" w:color="CCCCCC" w:sz="1"/>
            </w:tcBorders>
            <w:shd w:fill="4B2FB8" w:val="clear"/>
            <w:tcMar>
              <w:top w:type="dxa" w:w="80"/>
              <w:left w:type="dxa" w:w="120"/>
              <w:bottom w:type="dxa" w:w="80"/>
              <w:right w:type="dxa" w:w="120"/>
            </w:tcMar>
          </w:tcPr>
          <w:p>
            <w:r>
              <w:rPr>
                <w:rFonts w:ascii="Arial" w:cs="Arial" w:eastAsia="Arial" w:hAnsi="Arial"/>
                <w:b/>
                <w:bCs/>
                <w:color w:val="FFFFFF"/>
                <w:sz w:val="20"/>
                <w:szCs w:val="20"/>
              </w:rPr>
              <w:t xml:space="preserve">Total</w:t>
            </w:r>
          </w:p>
        </w:tc>
        <w:tc>
          <w:tcPr>
            <w:tcW w:type="dxa" w:w="1800"/>
            <w:tcBorders>
              <w:top w:val="single" w:color="CCCCCC" w:sz="1"/>
              <w:left w:val="single" w:color="CCCCCC" w:sz="1"/>
              <w:bottom w:val="single" w:color="CCCCCC" w:sz="1"/>
              <w:right w:val="single" w:color="CCCCCC" w:sz="1"/>
            </w:tcBorders>
            <w:shd w:fill="4B2FB8"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$150,000</w:t>
            </w:r>
          </w:p>
        </w:tc>
        <w:tc>
          <w:tcPr>
            <w:tcW w:type="dxa" w:w="1800"/>
            <w:tcBorders>
              <w:top w:val="single" w:color="CCCCCC" w:sz="1"/>
              <w:left w:val="single" w:color="CCCCCC" w:sz="1"/>
              <w:bottom w:val="single" w:color="CCCCCC" w:sz="1"/>
              <w:right w:val="single" w:color="CCCCCC" w:sz="1"/>
            </w:tcBorders>
            <w:shd w:fill="4B2FB8"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100%</w:t>
            </w:r>
          </w:p>
        </w:tc>
      </w:tr>
    </w:tbl>
    <w:p>
      <w:r>
        <w:t xml:space="preserve"/>
      </w:r>
    </w:p>
    <w:p>
      <w:pPr>
        <w:pBdr>
          <w:bottom w:val="single" w:color="4B2FB8" w:sz="6" w:space="1"/>
        </w:pBdr>
        <w:spacing w:after="200"/>
      </w:pPr>
      <w:r>
        <w:t xml:space="preserve"/>
      </w:r>
    </w:p>
    <w:p>
      <w:r>
        <w:br w:type="page"/>
      </w:r>
    </w:p>
    <w:p>
      <w:pPr>
        <w:spacing w:after="120" w:before="300"/>
      </w:pPr>
      <w:r>
        <w:rPr>
          <w:rFonts w:ascii="Arial" w:cs="Arial" w:eastAsia="Arial" w:hAnsi="Arial"/>
          <w:b/>
          <w:bCs/>
          <w:color w:val="1B0F5E"/>
          <w:sz w:val="32"/>
          <w:szCs w:val="32"/>
        </w:rPr>
        <w:t xml:space="preserve">Section 7 — Team</w:t>
      </w:r>
    </w:p>
    <w:p>
      <w:r>
        <w:t xml:space="preserve"/>
      </w:r>
    </w:p>
    <w:p>
      <w:pPr>
        <w:spacing w:after="80" w:before="240"/>
      </w:pPr>
      <w:r>
        <w:rPr>
          <w:rFonts w:ascii="Arial" w:cs="Arial" w:eastAsia="Arial" w:hAnsi="Arial"/>
          <w:b/>
          <w:bCs/>
          <w:color w:val="2D1A8A"/>
          <w:sz w:val="24"/>
          <w:szCs w:val="24"/>
        </w:rPr>
        <w:t xml:space="preserve">Lara Stuart Mueller — Founder</w:t>
      </w:r>
    </w:p>
    <w:p>
      <w:pPr>
        <w:pStyle w:val="ListParagraph"/>
        <w:numPr>
          <w:ilvl w:val="0"/>
          <w:numId w:val="2"/>
        </w:numPr>
        <w:spacing w:after="80"/>
      </w:pPr>
      <w:r>
        <w:rPr>
          <w:rFonts w:ascii="Arial" w:cs="Arial" w:eastAsia="Arial" w:hAnsi="Arial"/>
          <w:color w:val="333333"/>
          <w:sz w:val="20"/>
          <w:szCs w:val="20"/>
        </w:rPr>
        <w:t xml:space="preserve">Swiss national based in the United States — international perspective and access to Swiss regulatory environment and US market simultaneously.</w:t>
      </w:r>
    </w:p>
    <w:p>
      <w:pPr>
        <w:pStyle w:val="ListParagraph"/>
        <w:numPr>
          <w:ilvl w:val="0"/>
          <w:numId w:val="2"/>
        </w:numPr>
        <w:spacing w:after="80"/>
      </w:pPr>
      <w:r>
        <w:rPr>
          <w:rFonts w:ascii="Arial" w:cs="Arial" w:eastAsia="Arial" w:hAnsi="Arial"/>
          <w:color w:val="333333"/>
          <w:sz w:val="20"/>
          <w:szCs w:val="20"/>
        </w:rPr>
        <w:t xml:space="preserve">Founder, loveconcursall — building at the intersection of technology, civil rights, and financial inclusion.</w:t>
      </w:r>
    </w:p>
    <w:p>
      <w:pPr>
        <w:pStyle w:val="ListParagraph"/>
        <w:numPr>
          <w:ilvl w:val="0"/>
          <w:numId w:val="2"/>
        </w:numPr>
        <w:spacing w:after="80"/>
      </w:pPr>
      <w:r>
        <w:rPr>
          <w:rFonts w:ascii="Arial" w:cs="Arial" w:eastAsia="Arial" w:hAnsi="Arial"/>
          <w:color w:val="333333"/>
          <w:sz w:val="20"/>
          <w:szCs w:val="20"/>
        </w:rPr>
        <w:t xml:space="preserve">Four years of direct humanitarian work with UNHCR — intimate, first-hand knowledge of the unbanked and displaced populations that are Velcro’s long-term mission.</w:t>
      </w:r>
    </w:p>
    <w:p>
      <w:pPr>
        <w:pStyle w:val="ListParagraph"/>
        <w:numPr>
          <w:ilvl w:val="0"/>
          <w:numId w:val="2"/>
        </w:numPr>
        <w:spacing w:after="80"/>
      </w:pPr>
      <w:r>
        <w:rPr>
          <w:rFonts w:ascii="Arial" w:cs="Arial" w:eastAsia="Arial" w:hAnsi="Arial"/>
          <w:color w:val="333333"/>
          <w:sz w:val="20"/>
          <w:szCs w:val="20"/>
        </w:rPr>
        <w:t xml:space="preserve">Professional background spanning financial services, enterprise software, AI and robotics development, humanitarian work, contemporary art production, and advertising.</w:t>
      </w:r>
    </w:p>
    <w:p>
      <w:pPr>
        <w:pStyle w:val="ListParagraph"/>
        <w:numPr>
          <w:ilvl w:val="0"/>
          <w:numId w:val="2"/>
        </w:numPr>
        <w:spacing w:after="80"/>
      </w:pPr>
      <w:r>
        <w:rPr>
          <w:rFonts w:ascii="Arial" w:cs="Arial" w:eastAsia="Arial" w:hAnsi="Arial"/>
          <w:color w:val="333333"/>
          <w:sz w:val="20"/>
          <w:szCs w:val="20"/>
        </w:rPr>
        <w:t xml:space="preserve">Contact: lara@loveconcursall.com  ·  velcro.dev  ·  velcro-technologies.com</w:t>
      </w:r>
    </w:p>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6B4FD8" w:sz="12"/>
              <w:bottom w:val="none" w:color="FFFFFF" w:sz="0"/>
              <w:right w:val="none" w:color="FFFFFF" w:sz="0"/>
            </w:tcBorders>
            <w:shd w:fill="F5F3FF" w:val="clear"/>
            <w:tcMar>
              <w:top w:type="dxa" w:w="100"/>
              <w:left w:type="dxa" w:w="200"/>
              <w:bottom w:type="dxa" w:w="100"/>
              <w:right w:type="dxa" w:w="120"/>
            </w:tcMar>
          </w:tcPr>
          <w:p>
            <w:r>
              <w:rPr>
                <w:rFonts w:ascii="Arial" w:cs="Arial" w:eastAsia="Arial" w:hAnsi="Arial"/>
                <w:b/>
                <w:bCs/>
                <w:color w:val="6B4FD8"/>
                <w:sz w:val="19"/>
                <w:szCs w:val="19"/>
              </w:rPr>
              <w:t xml:space="preserve">Development Team</w:t>
            </w:r>
          </w:p>
          <w:p>
            <w:pPr>
              <w:spacing w:after="0"/>
            </w:pPr>
            <w:r>
              <w:rPr>
                <w:rFonts w:ascii="Arial" w:cs="Arial" w:eastAsia="Arial" w:hAnsi="Arial"/>
                <w:i/>
                <w:iCs/>
                <w:color w:val="444444"/>
                <w:sz w:val="19"/>
                <w:szCs w:val="19"/>
              </w:rPr>
              <w:t xml:space="preserve">Core development team being recruited using funding: one senior Rust/Solana developer, one EVM/TypeScript developer, one AI agent orchestration engineer. Legal and compliance: Swiss counsel on FINMA compliance being engaged in Milestone 1.</w:t>
            </w:r>
          </w:p>
        </w:tc>
      </w:tr>
    </w:tbl>
    <w:p>
      <w:r>
        <w:t xml:space="preserve"/>
      </w:r>
    </w:p>
    <w:p>
      <w:pPr>
        <w:pBdr>
          <w:bottom w:val="single" w:color="4B2FB8" w:sz="6" w:space="1"/>
        </w:pBdr>
        <w:spacing w:after="200"/>
      </w:pPr>
      <w:r>
        <w:t xml:space="preserve"/>
      </w:r>
    </w:p>
    <w:p>
      <w:pPr>
        <w:spacing w:after="120" w:before="300"/>
      </w:pPr>
      <w:r>
        <w:rPr>
          <w:rFonts w:ascii="Arial" w:cs="Arial" w:eastAsia="Arial" w:hAnsi="Arial"/>
          <w:b/>
          <w:bCs/>
          <w:color w:val="1B0F5E"/>
          <w:sz w:val="32"/>
          <w:szCs w:val="32"/>
        </w:rPr>
        <w:t xml:space="preserve">Section 8 — Open Source Commitment</w:t>
      </w:r>
    </w:p>
    <w:p>
      <w:r>
        <w:t xml:space="preserve"/>
      </w:r>
    </w:p>
    <w:p>
      <w:pPr>
        <w:spacing w:after="120"/>
      </w:pPr>
      <w:r>
        <w:rPr>
          <w:rFonts w:ascii="Arial" w:cs="Arial" w:eastAsia="Arial" w:hAnsi="Arial"/>
          <w:color w:val="333333"/>
          <w:sz w:val="20"/>
          <w:szCs w:val="20"/>
        </w:rPr>
        <w:t xml:space="preserve">The following components will be published as open source on velcro.dev and GitHub upon mainnet launch, available to any developer or builder in the ecosystem:</w:t>
      </w:r>
    </w:p>
    <w:p>
      <w:r>
        <w:t xml:space="preserve"/>
      </w:r>
    </w:p>
    <w:p>
      <w:pPr>
        <w:pStyle w:val="ListParagraph"/>
        <w:numPr>
          <w:ilvl w:val="0"/>
          <w:numId w:val="2"/>
        </w:numPr>
        <w:spacing w:after="80"/>
      </w:pPr>
      <w:r>
        <w:rPr>
          <w:rFonts w:ascii="Arial" w:cs="Arial" w:eastAsia="Arial" w:hAnsi="Arial"/>
          <w:color w:val="333333"/>
          <w:sz w:val="20"/>
          <w:szCs w:val="20"/>
        </w:rPr>
        <w:t xml:space="preserve">Full six-agent supervisor architecture, communication protocols, state management, and orchestration logic. Standalone SDK on velcro.dev. — Agent Coordination SDK</w:t>
      </w:r>
    </w:p>
    <w:p>
      <w:pPr>
        <w:pStyle w:val="ListParagraph"/>
        <w:numPr>
          <w:ilvl w:val="0"/>
          <w:numId w:val="2"/>
        </w:numPr>
        <w:spacing w:after="80"/>
      </w:pPr>
      <w:r>
        <w:rPr>
          <w:rFonts w:ascii="Arial" w:cs="Arial" w:eastAsia="Arial" w:hAnsi="Arial"/>
          <w:color w:val="333333"/>
          <w:sz w:val="20"/>
          <w:szCs w:val="20"/>
        </w:rPr>
        <w:t xml:space="preserve">Crypto-to-plain-English terminology dictionary and three-mode rendering engine. Any wallet or dApp can use this for mainstream accessibility. — Language Agent + Toggle System</w:t>
      </w:r>
    </w:p>
    <w:p>
      <w:pPr>
        <w:pStyle w:val="ListParagraph"/>
        <w:numPr>
          <w:ilvl w:val="0"/>
          <w:numId w:val="2"/>
        </w:numPr>
        <w:spacing w:after="80"/>
      </w:pPr>
      <w:r>
        <w:rPr>
          <w:rFonts w:ascii="Arial" w:cs="Arial" w:eastAsia="Arial" w:hAnsi="Arial"/>
          <w:color w:val="333333"/>
          <w:sz w:val="20"/>
          <w:szCs w:val="20"/>
        </w:rPr>
        <w:t xml:space="preserve">On-chain contacts layer with discoverability, portable social graph, and trust signal schema. — On-Chain Contacts Architecture</w:t>
      </w:r>
    </w:p>
    <w:p>
      <w:pPr>
        <w:pStyle w:val="ListParagraph"/>
        <w:numPr>
          <w:ilvl w:val="0"/>
          <w:numId w:val="2"/>
        </w:numPr>
        <w:spacing w:after="80"/>
      </w:pPr>
      <w:r>
        <w:rPr>
          <w:rFonts w:ascii="Arial" w:cs="Arial" w:eastAsia="Arial" w:hAnsi="Arial"/>
          <w:color w:val="333333"/>
          <w:sz w:val="20"/>
          <w:szCs w:val="20"/>
        </w:rPr>
        <w:t xml:space="preserve">Pre-trade simulation and contract risk module, including Forta, GoPlus, and honeypot detection integrations. Available to any wallet or DeFi front-end. — Trade Safety Agent</w:t>
      </w:r>
    </w:p>
    <w:p>
      <w:r>
        <w:t xml:space="preserve"/>
      </w:r>
    </w:p>
    <w:p>
      <w:pPr>
        <w:spacing w:after="120"/>
      </w:pPr>
      <w:r>
        <w:rPr>
          <w:rFonts w:ascii="Arial" w:cs="Arial" w:eastAsia="Arial" w:hAnsi="Arial"/>
          <w:color w:val="333333"/>
          <w:sz w:val="20"/>
          <w:szCs w:val="20"/>
        </w:rPr>
        <w:t xml:space="preserve">All components published under MIT license with full documentation and integration examples on velcro.dev.</w:t>
      </w:r>
    </w:p>
    <w:p>
      <w:r>
        <w:t xml:space="preserve"/>
      </w:r>
    </w:p>
    <w:p>
      <w:pPr>
        <w:pBdr>
          <w:bottom w:val="single" w:color="4B2FB8" w:sz="6" w:space="1"/>
        </w:pBdr>
        <w:spacing w:after="200"/>
      </w:pPr>
      <w:r>
        <w:t xml:space="preserve"/>
      </w:r>
    </w:p>
    <w:p>
      <w:r>
        <w:br w:type="page"/>
      </w:r>
    </w:p>
    <w:p>
      <w:pPr>
        <w:spacing w:after="120" w:before="300"/>
      </w:pPr>
      <w:r>
        <w:rPr>
          <w:rFonts w:ascii="Arial" w:cs="Arial" w:eastAsia="Arial" w:hAnsi="Arial"/>
          <w:b/>
          <w:bCs/>
          <w:color w:val="1B0F5E"/>
          <w:sz w:val="32"/>
          <w:szCs w:val="32"/>
        </w:rPr>
        <w:t xml:space="preserve">Section 9 — Legal &amp; Compliance</w:t>
      </w:r>
    </w:p>
    <w:p>
      <w:r>
        <w:t xml:space="preserve"/>
      </w:r>
    </w:p>
    <w:p>
      <w:pPr>
        <w:spacing w:after="80" w:before="240"/>
      </w:pPr>
      <w:r>
        <w:rPr>
          <w:rFonts w:ascii="Arial" w:cs="Arial" w:eastAsia="Arial" w:hAnsi="Arial"/>
          <w:b/>
          <w:bCs/>
          <w:color w:val="2D1A8A"/>
          <w:sz w:val="24"/>
          <w:szCs w:val="24"/>
        </w:rPr>
        <w:t xml:space="preserve">Entity Structure</w:t>
      </w:r>
    </w:p>
    <w:p>
      <w:pPr>
        <w:pStyle w:val="ListParagraph"/>
        <w:numPr>
          <w:ilvl w:val="0"/>
          <w:numId w:val="2"/>
        </w:numPr>
        <w:spacing w:after="80"/>
      </w:pPr>
      <w:r>
        <w:rPr>
          <w:rFonts w:ascii="Arial" w:cs="Arial" w:eastAsia="Arial" w:hAnsi="Arial"/>
          <w:color w:val="333333"/>
          <w:sz w:val="20"/>
          <w:szCs w:val="20"/>
        </w:rPr>
        <w:t xml:space="preserve">Swiss GmbH — formation in progress. FINMA-compliant by design. Velcro is software, not a financial service. Keys never leave user devices. The wallet holds no user funds.</w:t>
      </w:r>
    </w:p>
    <w:p>
      <w:pPr>
        <w:pStyle w:val="ListParagraph"/>
        <w:numPr>
          <w:ilvl w:val="0"/>
          <w:numId w:val="2"/>
        </w:numPr>
        <w:spacing w:after="80"/>
      </w:pPr>
      <w:r>
        <w:rPr>
          <w:rFonts w:ascii="Arial" w:cs="Arial" w:eastAsia="Arial" w:hAnsi="Arial"/>
          <w:color w:val="333333"/>
          <w:sz w:val="20"/>
          <w:szCs w:val="20"/>
        </w:rPr>
        <w:t xml:space="preserve">Wyoming LLC — secondary entity for US operations. Most crypto-friendly US jurisdiction. Can be registered immediately.</w:t>
      </w:r>
    </w:p>
    <w:p>
      <w:pPr>
        <w:pStyle w:val="ListParagraph"/>
        <w:numPr>
          <w:ilvl w:val="0"/>
          <w:numId w:val="2"/>
        </w:numPr>
        <w:spacing w:after="80"/>
      </w:pPr>
      <w:r>
        <w:rPr>
          <w:rFonts w:ascii="Arial" w:cs="Arial" w:eastAsia="Arial" w:hAnsi="Arial"/>
          <w:color w:val="333333"/>
          <w:sz w:val="20"/>
          <w:szCs w:val="20"/>
        </w:rPr>
        <w:t xml:space="preserve">Swiss FINMA counsel — being engaged during Milestone 1. Budget allocated in this application.</w:t>
      </w:r>
    </w:p>
    <w:p>
      <w:r>
        <w:t xml:space="preserve"/>
      </w:r>
    </w:p>
    <w:p>
      <w:pPr>
        <w:spacing w:after="80" w:before="240"/>
      </w:pPr>
      <w:r>
        <w:rPr>
          <w:rFonts w:ascii="Arial" w:cs="Arial" w:eastAsia="Arial" w:hAnsi="Arial"/>
          <w:b/>
          <w:bCs/>
          <w:color w:val="2D1A8A"/>
          <w:sz w:val="24"/>
          <w:szCs w:val="24"/>
        </w:rPr>
        <w:t xml:space="preserve">Regulatory Approach</w:t>
      </w:r>
    </w:p>
    <w:p>
      <w:pPr>
        <w:pStyle w:val="ListParagraph"/>
        <w:numPr>
          <w:ilvl w:val="0"/>
          <w:numId w:val="2"/>
        </w:numPr>
        <w:spacing w:after="80"/>
      </w:pPr>
      <w:r>
        <w:rPr>
          <w:rFonts w:ascii="Arial" w:cs="Arial" w:eastAsia="Arial" w:hAnsi="Arial"/>
          <w:color w:val="333333"/>
          <w:sz w:val="20"/>
          <w:szCs w:val="20"/>
        </w:rPr>
        <w:t xml:space="preserve">Non-custodial by design — no banking licence required in any jurisdiction.</w:t>
      </w:r>
    </w:p>
    <w:p>
      <w:pPr>
        <w:pStyle w:val="ListParagraph"/>
        <w:numPr>
          <w:ilvl w:val="0"/>
          <w:numId w:val="2"/>
        </w:numPr>
        <w:spacing w:after="80"/>
      </w:pPr>
      <w:r>
        <w:rPr>
          <w:rFonts w:ascii="Arial" w:cs="Arial" w:eastAsia="Arial" w:hAnsi="Arial"/>
          <w:color w:val="333333"/>
          <w:sz w:val="20"/>
          <w:szCs w:val="20"/>
        </w:rPr>
        <w:t xml:space="preserve">Tiered KYC — Tier 0: no KYC, receive-only. Tier 1: phone verification, $200/month send limit. Tier 2: document, $1,000/month. Tier 3: full KYC, unlimited.</w:t>
      </w:r>
    </w:p>
    <w:p>
      <w:pPr>
        <w:pStyle w:val="ListParagraph"/>
        <w:numPr>
          <w:ilvl w:val="0"/>
          <w:numId w:val="2"/>
        </w:numPr>
        <w:spacing w:after="80"/>
      </w:pPr>
      <w:r>
        <w:rPr>
          <w:rFonts w:ascii="Arial" w:cs="Arial" w:eastAsia="Arial" w:hAnsi="Arial"/>
          <w:color w:val="333333"/>
          <w:sz w:val="20"/>
          <w:szCs w:val="20"/>
        </w:rPr>
        <w:t xml:space="preserve">GDPR compliant — no personal data stored on any server. All user data remains on device.</w:t>
      </w:r>
    </w:p>
    <w:p>
      <w:pPr>
        <w:pStyle w:val="ListParagraph"/>
        <w:numPr>
          <w:ilvl w:val="0"/>
          <w:numId w:val="2"/>
        </w:numPr>
        <w:spacing w:after="80"/>
      </w:pPr>
      <w:r>
        <w:rPr>
          <w:rFonts w:ascii="Arial" w:cs="Arial" w:eastAsia="Arial" w:hAnsi="Arial"/>
          <w:color w:val="333333"/>
          <w:sz w:val="20"/>
          <w:szCs w:val="20"/>
        </w:rPr>
        <w:t xml:space="preserve">Travel Rule — cross-chain execution architecture naturally carries originator data for qualifying transactions.</w:t>
      </w:r>
    </w:p>
    <w:p>
      <w:r>
        <w:t xml:space="preserve"/>
      </w:r>
    </w:p>
    <w:p>
      <w:pPr>
        <w:pBdr>
          <w:bottom w:val="single" w:color="4B2FB8" w:sz="6" w:space="1"/>
        </w:pBdr>
        <w:spacing w:after="200"/>
      </w:pPr>
      <w:r>
        <w:t xml:space="preserve"/>
      </w:r>
    </w:p>
    <w:p>
      <w:pPr>
        <w:spacing w:after="120" w:before="300"/>
      </w:pPr>
      <w:r>
        <w:rPr>
          <w:rFonts w:ascii="Arial" w:cs="Arial" w:eastAsia="Arial" w:hAnsi="Arial"/>
          <w:b/>
          <w:bCs/>
          <w:color w:val="1B0F5E"/>
          <w:sz w:val="32"/>
          <w:szCs w:val="32"/>
        </w:rPr>
        <w:t xml:space="preserve">Section 10 — Why This, Why Now</w:t>
      </w:r>
    </w:p>
    <w:p>
      <w:r>
        <w:t xml:space="preserve"/>
      </w:r>
    </w:p>
    <w:p>
      <w:pPr>
        <w:spacing w:after="120"/>
      </w:pPr>
      <w:r>
        <w:rPr>
          <w:rFonts w:ascii="Arial" w:cs="Arial" w:eastAsia="Arial" w:hAnsi="Arial"/>
          <w:color w:val="333333"/>
          <w:sz w:val="20"/>
          <w:szCs w:val="20"/>
        </w:rPr>
        <w:t xml:space="preserve">The window to build Web3 infrastructure with civil rights and human dignity at the foundation is open right now. The regulatory environment is shifting. User trust in surveillance-based platforms is collapsing. The technical infrastructure for a better financial web exists and is mature. What has been missing is a consumer product that brings it all together for people who have never heard of a blockchain.</w:t>
      </w:r>
    </w:p>
    <w:p>
      <w:r>
        <w:t xml:space="preserve"/>
      </w:r>
    </w:p>
    <w:p>
      <w:pPr>
        <w:spacing w:after="120"/>
      </w:pPr>
      <w:r>
        <w:rPr>
          <w:rFonts w:ascii="Arial" w:cs="Arial" w:eastAsia="Arial" w:hAnsi="Arial"/>
          <w:color w:val="333333"/>
          <w:sz w:val="20"/>
          <w:szCs w:val="20"/>
        </w:rPr>
        <w:t xml:space="preserve">Velcro is that product. Not a product for early adopters or technically literate users. A product for the next billion people — the ones for whom the promise of crypto — permissionless, borderless, peer-to-peer financial access — matters most.</w:t>
      </w:r>
    </w:p>
    <w:p>
      <w:r>
        <w:t xml:space="preserve"/>
      </w:r>
    </w:p>
    <w:p>
      <w:pPr>
        <w:spacing w:after="120"/>
      </w:pPr>
      <w:r>
        <w:rPr>
          <w:rFonts w:ascii="Arial" w:cs="Arial" w:eastAsia="Arial" w:hAnsi="Arial"/>
          <w:color w:val="333333"/>
          <w:sz w:val="20"/>
          <w:szCs w:val="20"/>
        </w:rPr>
        <w:t xml:space="preserve">The alignment between what Velcro is building and what mission-driven investors, grant bodies, and partners stand for is exact and rare. We are not just building a wallet. We are proving that this can be done with transparency, dignity, and full user sovereignty intact.</w:t>
      </w:r>
    </w:p>
    <w:p>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1B0F5E" w:sz="12"/>
              <w:bottom w:val="none" w:color="FFFFFF" w:sz="0"/>
              <w:right w:val="none" w:color="FFFFFF" w:sz="0"/>
            </w:tcBorders>
            <w:shd w:fill="F5F3FF" w:val="clear"/>
            <w:tcMar>
              <w:top w:type="dxa" w:w="100"/>
              <w:left w:type="dxa" w:w="200"/>
              <w:bottom w:type="dxa" w:w="100"/>
              <w:right w:type="dxa" w:w="120"/>
            </w:tcMar>
          </w:tcPr>
          <w:p>
            <w:r>
              <w:rPr>
                <w:rFonts w:ascii="Arial" w:cs="Arial" w:eastAsia="Arial" w:hAnsi="Arial"/>
                <w:b/>
                <w:bCs/>
                <w:color w:val="1B0F5E"/>
                <w:sz w:val="19"/>
                <w:szCs w:val="19"/>
              </w:rPr>
              <w:t xml:space="preserve">The Invitation</w:t>
            </w:r>
          </w:p>
          <w:p>
            <w:pPr>
              <w:spacing w:after="0"/>
            </w:pPr>
            <w:r>
              <w:rPr>
                <w:rFonts w:ascii="Arial" w:cs="Arial" w:eastAsia="Arial" w:hAnsi="Arial"/>
                <w:i/>
                <w:iCs/>
                <w:color w:val="444444"/>
                <w:sz w:val="19"/>
                <w:szCs w:val="19"/>
              </w:rPr>
              <w:t xml:space="preserve">This funding builds the bridge between the infrastructure that exists and the people who need it most. We are building in the spirit of what the internet was supposed to be. This is the product that proves it still can be.</w:t>
            </w:r>
          </w:p>
        </w:tc>
      </w:tr>
    </w:tbl>
    <w:p>
      <w:r>
        <w:t xml:space="preserve"/>
      </w:r>
    </w:p>
    <w:p>
      <w:r>
        <w:t xml:space="preserve"/>
      </w:r>
    </w:p>
    <w:p>
      <w:pPr>
        <w:spacing w:after="80" w:before="200"/>
        <w:jc w:val="center"/>
      </w:pPr>
      <w:r>
        <w:rPr>
          <w:rFonts w:ascii="Arial" w:cs="Arial" w:eastAsia="Arial" w:hAnsi="Arial"/>
          <w:b/>
          <w:bCs/>
          <w:color w:val="4B2FB8"/>
          <w:sz w:val="28"/>
          <w:szCs w:val="28"/>
        </w:rPr>
        <w:t xml:space="preserve">Hook. Loop. Hold.</w:t>
      </w:r>
    </w:p>
    <w:p>
      <w:pPr>
        <w:spacing w:after="80"/>
        <w:jc w:val="center"/>
      </w:pPr>
      <w:r>
        <w:rPr>
          <w:rFonts w:ascii="Arial" w:cs="Arial" w:eastAsia="Arial" w:hAnsi="Arial"/>
          <w:color w:val="2D1A8A"/>
          <w:sz w:val="20"/>
          <w:szCs w:val="20"/>
        </w:rPr>
        <w:t xml:space="preserve">Lara Stuart Mueller — Founder, loveconcursall</w:t>
      </w:r>
    </w:p>
    <w:p>
      <w:pPr>
        <w:spacing w:after="80"/>
        <w:jc w:val="center"/>
      </w:pPr>
      <w:r>
        <w:rPr>
          <w:rFonts w:ascii="Arial" w:cs="Arial" w:eastAsia="Arial" w:hAnsi="Arial"/>
          <w:color w:val="555555"/>
          <w:sz w:val="18"/>
          <w:szCs w:val="18"/>
        </w:rPr>
        <w:t xml:space="preserve">lara@loveconcursall.com  ·  velcro.dev  ·  velcro-technologies.com</w:t>
      </w:r>
    </w:p>
    <w:p>
      <w:pPr>
        <w:spacing w:after="0"/>
        <w:jc w:val="center"/>
      </w:pPr>
      <w:r>
        <w:rPr>
          <w:rFonts w:ascii="Arial" w:cs="Arial" w:eastAsia="Arial" w:hAnsi="Arial"/>
          <w:i/>
          <w:iCs/>
          <w:color w:val="999999"/>
          <w:sz w:val="17"/>
          <w:szCs w:val="17"/>
        </w:rPr>
        <w:t xml:space="preserve">Confidential — For Investor &amp; Partner Use Only</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2026-04-06T19:11:20.310Z</dcterms:created>
  <dcterms:modified xsi:type="dcterms:W3CDTF">2026-04-06T19:11:20.310Z</dcterms:modified>
</cp:coreProperties>
</file>

<file path=docProps/custom.xml><?xml version="1.0" encoding="utf-8"?>
<Properties xmlns="http://schemas.openxmlformats.org/officeDocument/2006/custom-properties" xmlns:vt="http://schemas.openxmlformats.org/officeDocument/2006/docPropsVTypes"/>
</file>