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9360"/>
      </w:tblGrid>
      <w:tr>
        <w:tc>
          <w:tcPr>
            <w:tcW w:type="dxa" w:w="9360"/>
            <w:tcBorders>
              <w:top w:val="none" w:color="FFFFFF" w:sz="0"/>
              <w:left w:val="none" w:color="FFFFFF" w:sz="0"/>
              <w:bottom w:val="none" w:color="FFFFFF" w:sz="0"/>
              <w:right w:val="none" w:color="FFFFFF" w:sz="0"/>
            </w:tcBorders>
            <w:shd w:fill="1B0F5E" w:val="clear"/>
            <w:tcMar>
              <w:top w:type="dxa" w:w="600"/>
              <w:left w:type="dxa" w:w="400"/>
              <w:bottom w:type="dxa" w:w="600"/>
              <w:right w:type="dxa" w:w="400"/>
            </w:tcMar>
          </w:tcPr>
          <w:p>
            <w:pPr>
              <w:spacing w:after="160"/>
              <w:jc w:val="center"/>
            </w:pPr>
            <w:r>
              <w:rPr>
                <w:rFonts w:ascii="Arial" w:cs="Arial" w:eastAsia="Arial" w:hAnsi="Arial"/>
                <w:b/>
                <w:bCs/>
                <w:color w:val="9B7FE8"/>
                <w:sz w:val="28"/>
                <w:szCs w:val="28"/>
              </w:rPr>
              <w:t xml:space="preserve">loveconcursall</w:t>
            </w:r>
          </w:p>
          <w:p>
            <w:pPr>
              <w:spacing w:after="200"/>
              <w:jc w:val="center"/>
            </w:pPr>
            <w:r>
              <w:rPr>
                <w:rFonts w:ascii="Arial" w:cs="Arial" w:eastAsia="Arial" w:hAnsi="Arial"/>
                <w:b/>
                <w:bCs/>
                <w:color w:val="FFFFFF"/>
                <w:sz w:val="48"/>
                <w:szCs w:val="48"/>
              </w:rPr>
              <w:t xml:space="preserve">VELCRO WALLET</w:t>
            </w:r>
          </w:p>
          <w:p>
            <w:pPr>
              <w:spacing w:after="160"/>
              <w:jc w:val="center"/>
            </w:pPr>
            <w:r>
              <w:rPr>
                <w:rFonts w:ascii="Arial" w:cs="Arial" w:eastAsia="Arial" w:hAnsi="Arial"/>
                <w:i/>
                <w:iCs/>
                <w:color w:val="C4B0FF"/>
                <w:sz w:val="26"/>
                <w:szCs w:val="26"/>
              </w:rPr>
              <w:t xml:space="preserve">HOOK. LOOP. HOLD.</w:t>
            </w:r>
          </w:p>
          <w:p>
            <w:pPr>
              <w:spacing w:after="160"/>
              <w:jc w:val="center"/>
            </w:pPr>
            <w:r>
              <w:rPr>
                <w:rFonts w:ascii="Arial" w:cs="Arial" w:eastAsia="Arial" w:hAnsi="Arial"/>
                <w:i/>
                <w:iCs/>
                <w:color w:val="9B7FE8"/>
                <w:sz w:val="26"/>
                <w:szCs w:val="26"/>
              </w:rPr>
              <w:t xml:space="preserve">Master Product &amp; Architecture Document</w:t>
            </w:r>
          </w:p>
          <w:p>
            <w:pPr>
              <w:spacing w:after="80"/>
              <w:jc w:val="center"/>
            </w:pPr>
            <w:r>
              <w:rPr>
                <w:rFonts w:ascii="Arial" w:cs="Arial" w:eastAsia="Arial" w:hAnsi="Arial"/>
                <w:color w:val="9B7FE8"/>
                <w:sz w:val="22"/>
                <w:szCs w:val="22"/>
              </w:rPr>
              <w:t xml:space="preserve">Lara Stuart Mueller, Founder</w:t>
            </w:r>
          </w:p>
          <w:p>
            <w:pPr>
              <w:jc w:val="center"/>
            </w:pPr>
            <w:r>
              <w:rPr>
                <w:rFonts w:ascii="Arial" w:cs="Arial" w:eastAsia="Arial" w:hAnsi="Arial"/>
                <w:color w:val="6B4FD8"/>
                <w:sz w:val="18"/>
                <w:szCs w:val="18"/>
              </w:rPr>
              <w:t xml:space="preserve">CONFIDENTIAL — FOR INTERNAL REFERENCE ONLY</w:t>
            </w:r>
          </w:p>
        </w:tc>
      </w:tr>
    </w:tbl>
    <w:p>
      <w:pPr>
        <w:spacing w:before="0" w:after="240"/>
      </w:pPr>
      <w:r>
        <w:t xml:space="preserve"/>
      </w:r>
    </w:p>
    <w:p>
      <w:pPr>
        <w:pStyle w:val="Heading1"/>
        <w:pBdr>
          <w:bottom w:val="single" w:color="1A3A6B" w:sz="8" w:space="4"/>
        </w:pBdr>
        <w:spacing w:before="400" w:after="200"/>
      </w:pPr>
      <w:r>
        <w:rPr>
          <w:rFonts w:ascii="Arial" w:cs="Arial" w:eastAsia="Arial" w:hAnsi="Arial"/>
          <w:b/>
          <w:bCs/>
          <w:color w:val="1B0F5E"/>
          <w:sz w:val="32"/>
          <w:szCs w:val="32"/>
        </w:rPr>
        <w:t xml:space="preserve">Executive Summary</w:t>
      </w:r>
    </w:p>
    <w:p>
      <w:pPr>
        <w:spacing w:before="80" w:after="80"/>
      </w:pPr>
      <w:r>
        <w:rPr>
          <w:rFonts w:ascii="Arial" w:cs="Arial" w:eastAsia="Arial" w:hAnsi="Arial"/>
          <w:color w:val="222222"/>
          <w:sz w:val="22"/>
          <w:szCs w:val="22"/>
        </w:rPr>
        <w:t xml:space="preserve">This document is the single source of truth for the Velcro Wallet — a peer-to-peer crypto and fiat wallet designed to be as easy as PayPal for a first-time user, as powerful as a professional trading terminal for an experienced trader, and more transparent, cheaper, and more ethical than any existing platform.</w:t>
      </w:r>
    </w:p>
    <w:p>
      <w:pPr>
        <w:spacing w:before="0" w:after="120"/>
      </w:pPr>
      <w:r>
        <w:t xml:space="preserve"/>
      </w:r>
    </w:p>
    <w:p>
      <w:pPr>
        <w:spacing w:before="80" w:after="80"/>
      </w:pPr>
      <w:r>
        <w:rPr>
          <w:rFonts w:ascii="Arial" w:cs="Arial" w:eastAsia="Arial" w:hAnsi="Arial"/>
          <w:b/>
          <w:bCs/>
          <w:color w:val="222222"/>
          <w:sz w:val="22"/>
          <w:szCs w:val="22"/>
        </w:rPr>
        <w:t xml:space="preserve">The product is built on three foundational principles:</w:t>
      </w:r>
    </w:p>
    <w:p>
      <w:pPr>
        <w:pStyle w:val="ListParagraph"/>
        <w:numPr>
          <w:ilvl w:val="0"/>
          <w:numId w:val="2"/>
        </w:numPr>
        <w:spacing w:before="60" w:after="60"/>
      </w:pPr>
      <w:r>
        <w:rPr>
          <w:rFonts w:ascii="Arial" w:cs="Arial" w:eastAsia="Arial" w:hAnsi="Arial"/>
          <w:color w:val="222222"/>
          <w:sz w:val="22"/>
          <w:szCs w:val="22"/>
        </w:rPr>
        <w:t xml:space="preserve">Free. Forever. No paid tiers, no locked features, no premium walls. Every user gets the full product.</w:t>
      </w:r>
    </w:p>
    <w:p>
      <w:pPr>
        <w:pStyle w:val="ListParagraph"/>
        <w:numPr>
          <w:ilvl w:val="0"/>
          <w:numId w:val="2"/>
        </w:numPr>
        <w:spacing w:before="60" w:after="60"/>
      </w:pPr>
      <w:r>
        <w:rPr>
          <w:rFonts w:ascii="Arial" w:cs="Arial" w:eastAsia="Arial" w:hAnsi="Arial"/>
          <w:color w:val="222222"/>
          <w:sz w:val="22"/>
          <w:szCs w:val="22"/>
        </w:rPr>
        <w:t xml:space="preserve">Transparent. We take a spread on trades — always disclosed, always lower than any competitor. No other hidden revenue.</w:t>
      </w:r>
    </w:p>
    <w:p>
      <w:pPr>
        <w:pStyle w:val="ListParagraph"/>
        <w:numPr>
          <w:ilvl w:val="0"/>
          <w:numId w:val="2"/>
        </w:numPr>
        <w:spacing w:before="60" w:after="60"/>
      </w:pPr>
      <w:r>
        <w:rPr>
          <w:rFonts w:ascii="Arial" w:cs="Arial" w:eastAsia="Arial" w:hAnsi="Arial"/>
          <w:color w:val="222222"/>
          <w:sz w:val="22"/>
          <w:szCs w:val="22"/>
        </w:rPr>
        <w:t xml:space="preserve">Intelligent. A multi-agent AI coordination layer makes every user a smarter trader without requiring them to be one.</w:t>
      </w:r>
    </w:p>
    <w:p>
      <w:pPr>
        <w:spacing w:before="0" w:after="12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200"/>
        <w:gridCol w:w="9160"/>
      </w:tblGrid>
      <w:tr>
        <w:tc>
          <w:tcPr>
            <w:tcW w:type="dxa" w:w="200"/>
            <w:tcBorders>
              <w:top w:val="none" w:color="FFFFFF" w:sz="0"/>
              <w:left w:val="none" w:color="FFFFFF" w:sz="0"/>
              <w:bottom w:val="none" w:color="FFFFFF" w:sz="0"/>
              <w:right w:val="none" w:color="FFFFFF" w:sz="0"/>
            </w:tcBorders>
            <w:shd w:fill="2D1A8A" w:val="clear"/>
            <w:tcMar>
              <w:top w:type="dxa" w:w="80"/>
              <w:left w:type="dxa" w:w="80"/>
              <w:bottom w:type="dxa" w:w="80"/>
              <w:right w:type="dxa" w:w="80"/>
            </w:tcMar>
          </w:tcPr>
          <w:p>
            <w:r>
              <w:rPr>
                <w:rFonts w:ascii="Arial" w:cs="Arial" w:eastAsia="Arial" w:hAnsi="Arial"/>
                <w:sz w:val="20"/>
                <w:szCs w:val="20"/>
              </w:rPr>
              <w:t xml:space="preserve"/>
            </w:r>
          </w:p>
        </w:tc>
        <w:tc>
          <w:tcPr>
            <w:tcW w:type="dxa" w:w="9160"/>
            <w:tcBorders>
              <w:top w:val="none" w:color="FFFFFF" w:sz="0"/>
              <w:left w:val="none" w:color="FFFFFF" w:sz="0"/>
              <w:bottom w:val="none" w:color="FFFFFF" w:sz="0"/>
              <w:right w:val="none" w:color="FFFFFF" w:sz="0"/>
            </w:tcBorders>
            <w:shd w:fill="F0EDFF" w:val="clear"/>
            <w:tcMar>
              <w:top w:type="dxa" w:w="100"/>
              <w:left w:type="dxa" w:w="200"/>
              <w:bottom w:type="dxa" w:w="100"/>
              <w:right w:type="dxa" w:w="120"/>
            </w:tcMar>
          </w:tcPr>
          <w:p>
            <w:r>
              <w:rPr>
                <w:rFonts w:ascii="Arial" w:cs="Arial" w:eastAsia="Arial" w:hAnsi="Arial"/>
                <w:b/>
                <w:bCs/>
                <w:color w:val="2D1A8A"/>
                <w:sz w:val="20"/>
                <w:szCs w:val="20"/>
              </w:rPr>
              <w:t xml:space="preserve">Core Mission</w:t>
            </w:r>
          </w:p>
          <w:p>
            <w:pPr>
              <w:spacing w:before="40"/>
            </w:pPr>
            <w:r>
              <w:rPr>
                <w:rFonts w:ascii="Arial" w:cs="Arial" w:eastAsia="Arial" w:hAnsi="Arial"/>
                <w:color w:val="333333"/>
                <w:sz w:val="20"/>
                <w:szCs w:val="20"/>
              </w:rPr>
              <w:t xml:space="preserve">Build the first financial operating system that lives natively across crypto and traditional finance, speaks plain English and crypto fluently, costs users less than any alternative, and is genuinely accessible to everyone — from a first-time user to a professional trader.</w:t>
            </w:r>
          </w:p>
        </w:tc>
      </w:tr>
    </w:tbl>
    <w:p>
      <w:pPr>
        <w:spacing w:before="0" w:after="120"/>
      </w:pPr>
      <w:r>
        <w:t xml:space="preserve"/>
      </w:r>
    </w:p>
    <w:p>
      <w:pPr>
        <w:pStyle w:val="Heading1"/>
        <w:pBdr>
          <w:bottom w:val="single" w:color="1A3A6B" w:sz="8" w:space="4"/>
        </w:pBdr>
        <w:spacing w:before="400" w:after="200"/>
      </w:pPr>
      <w:r>
        <w:rPr>
          <w:rFonts w:ascii="Arial" w:cs="Arial" w:eastAsia="Arial" w:hAnsi="Arial"/>
          <w:b/>
          <w:bCs/>
          <w:color w:val="1B0F5E"/>
          <w:sz w:val="32"/>
          <w:szCs w:val="32"/>
        </w:rPr>
        <w:t xml:space="preserve">What We Are Building — V1 Scope</w:t>
        <w:p>
          <w:pPr>
            <w:jc w:val="center"/>
            <w:spacing w:before="120" w:after="120"/>
          </w:pPr>
          <w:r>
            <w:rPr/>
            <w:drawing>
              <wp:inline>
                <wp:extent cx="4572000" cy="3187603"/>
                <wp:docPr id="1" name="img"/>
                <a:graphic xmlns:a="http://schemas.openxmlformats.org/drawingml/2006/main">
                  <a:graphicData uri="http://schemas.openxmlformats.org/drawingml/2006/picture">
                    <pic:pic xmlns:pic="http://schemas.openxmlformats.org/drawingml/2006/picture">
                      <pic:nvPicPr>
                        <pic:cNvPr id="1" name="img"/>
                        <pic:cNvPicPr/>
                      </pic:nvPicPr>
                      <pic:blipFill>
                        <a:blip r:embed="rId8"/>
                        <a:stretch>
                          <a:fillRect/>
                        </a:stretch>
                      </pic:blipFill>
                      <pic:spPr>
                        <a:xfrm>
                          <a:off x="0" y="0"/>
                          <a:ext cx="4572000" cy="3187603"/>
                        </a:xfrm>
                        <a:prstGeom prst="rect">
                          <a:avLst/>
                        </a:prstGeom>
                      </pic:spPr>
                    </pic:pic>
                  </a:graphicData>
                </a:graphic>
              </wp:inline>
            </w:drawing>
          </w:r>
        </w:p>
        <w:p>
          <w:pPr>
            <w:jc w:val="center"/>
            <w:spacing w:before="40" w:after="120"/>
          </w:pPr>
          <w:r>
            <w:rPr>
              <w:rFonts w:ascii="Arial" w:hAnsi="Arial"/>
              <w:i/>
              <w:color w:val="6B4FD8"/>
              <w:sz w:val="18"/>
            </w:rPr>
            <w:t xml:space="preserve">Velcro Wallet — exterior architecture. Hook layer (NEAR Intents), Loop layer (P2P), peer-to-peer nodes.</w:t>
          </w:r>
        </w:p>
        <w:p>
          <w:pPr>
            <w:jc w:val="center"/>
            <w:spacing w:before="120" w:after="120"/>
          </w:pPr>
          <w:r>
            <w:rPr/>
            <w:drawing>
              <wp:inline>
                <wp:extent cx="4572000" cy="2667000"/>
                <wp:docPr id="1" name="img"/>
                <a:graphic xmlns:a="http://schemas.openxmlformats.org/drawingml/2006/main">
                  <a:graphicData uri="http://schemas.openxmlformats.org/drawingml/2006/picture">
                    <pic:pic xmlns:pic="http://schemas.openxmlformats.org/drawingml/2006/picture">
                      <pic:nvPicPr>
                        <pic:cNvPr id="1" name="img"/>
                        <pic:cNvPicPr/>
                      </pic:nvPicPr>
                      <pic:blipFill>
                        <a:blip r:embed="rId9"/>
                        <a:stretch>
                          <a:fillRect/>
                        </a:stretch>
                      </pic:blipFill>
                      <pic:spPr>
                        <a:xfrm>
                          <a:off x="0" y="0"/>
                          <a:ext cx="4572000" cy="2667000"/>
                        </a:xfrm>
                        <a:prstGeom prst="rect">
                          <a:avLst/>
                        </a:prstGeom>
                      </pic:spPr>
                    </pic:pic>
                  </a:graphicData>
                </a:graphic>
              </wp:inline>
            </w:drawing>
          </w:r>
        </w:p>
        <w:p>
          <w:pPr>
            <w:jc w:val="center"/>
            <w:spacing w:before="40" w:after="120"/>
          </w:pPr>
          <w:r>
            <w:rPr>
              <w:rFonts w:ascii="Arial" w:hAnsi="Arial"/>
              <w:i/>
              <w:color w:val="6B4FD8"/>
              <w:sz w:val="18"/>
            </w:rPr>
            <w:t xml:space="preserve">Velcro Wallet open — four AI agent screens: Trade Safety, Language Toggle, Portfolio Intelligence, P2P Counterparty.</w:t>
          </w:r>
        </w:p>
      </w:r>
    </w:p>
    <w:p>
      <w:pPr>
        <w:pStyle w:val="Heading2"/>
        <w:spacing w:before="300" w:after="160"/>
      </w:pPr>
      <w:r>
        <w:rPr>
          <w:rFonts w:ascii="Arial" w:cs="Arial" w:eastAsia="Arial" w:hAnsi="Arial"/>
          <w:b/>
          <w:bCs/>
          <w:color w:val="2D1A8A"/>
          <w:sz w:val="26"/>
          <w:szCs w:val="26"/>
        </w:rPr>
        <w:t xml:space="preserve">1. Unified Portfolio — Solana + EVM</w:t>
      </w:r>
    </w:p>
    <w:p>
      <w:pPr>
        <w:spacing w:before="80" w:after="80"/>
      </w:pPr>
      <w:r>
        <w:rPr>
          <w:rFonts w:ascii="Arial" w:cs="Arial" w:eastAsia="Arial" w:hAnsi="Arial"/>
          <w:color w:val="222222"/>
          <w:sz w:val="22"/>
          <w:szCs w:val="22"/>
        </w:rPr>
        <w:t xml:space="preserve">A single interface showing the user's complete financial picture across Solana and Ethereum/EVM chains simultaneously. No switching between apps. No fragmented view.</w:t>
      </w:r>
    </w:p>
    <w:p>
      <w:pPr>
        <w:pStyle w:val="ListParagraph"/>
        <w:numPr>
          <w:ilvl w:val="0"/>
          <w:numId w:val="2"/>
        </w:numPr>
        <w:spacing w:before="60" w:after="60"/>
      </w:pPr>
      <w:r>
        <w:rPr>
          <w:rFonts w:ascii="Arial" w:cs="Arial" w:eastAsia="Arial" w:hAnsi="Arial"/>
          <w:color w:val="222222"/>
          <w:sz w:val="22"/>
          <w:szCs w:val="22"/>
        </w:rPr>
        <w:t xml:space="preserve">Live balance in dollars always shown first — crypto denomination available on toggle</w:t>
      </w:r>
    </w:p>
    <w:p>
      <w:pPr>
        <w:pStyle w:val="ListParagraph"/>
        <w:numPr>
          <w:ilvl w:val="0"/>
          <w:numId w:val="2"/>
        </w:numPr>
        <w:spacing w:before="60" w:after="60"/>
      </w:pPr>
      <w:r>
        <w:rPr>
          <w:rFonts w:ascii="Arial" w:cs="Arial" w:eastAsia="Arial" w:hAnsi="Arial"/>
          <w:color w:val="222222"/>
          <w:sz w:val="22"/>
          <w:szCs w:val="22"/>
        </w:rPr>
        <w:t xml:space="preserve">Asset breakdown: tokens, stablecoins, NFTs, yield positions</w:t>
      </w:r>
    </w:p>
    <w:p>
      <w:pPr>
        <w:pStyle w:val="ListParagraph"/>
        <w:numPr>
          <w:ilvl w:val="0"/>
          <w:numId w:val="2"/>
        </w:numPr>
        <w:spacing w:before="60" w:after="60"/>
      </w:pPr>
      <w:r>
        <w:rPr>
          <w:rFonts w:ascii="Arial" w:cs="Arial" w:eastAsia="Arial" w:hAnsi="Arial"/>
          <w:color w:val="222222"/>
          <w:sz w:val="22"/>
          <w:szCs w:val="22"/>
        </w:rPr>
        <w:t xml:space="preserve">Unified P&amp;L tracking across both chains</w:t>
      </w:r>
    </w:p>
    <w:p>
      <w:pPr>
        <w:pStyle w:val="ListParagraph"/>
        <w:numPr>
          <w:ilvl w:val="0"/>
          <w:numId w:val="2"/>
        </w:numPr>
        <w:spacing w:before="60" w:after="60"/>
      </w:pPr>
      <w:r>
        <w:rPr>
          <w:rFonts w:ascii="Arial" w:cs="Arial" w:eastAsia="Arial" w:hAnsi="Arial"/>
          <w:color w:val="222222"/>
          <w:sz w:val="22"/>
          <w:szCs w:val="22"/>
        </w:rPr>
        <w:t xml:space="preserve">Cross-chain transaction history, fully searchable, with user notes</w:t>
      </w:r>
    </w:p>
    <w:p>
      <w:pPr>
        <w:spacing w:before="0" w:after="120"/>
      </w:pPr>
      <w:r>
        <w:t xml:space="preserve"/>
      </w:r>
    </w:p>
    <w:p>
      <w:pPr>
        <w:pStyle w:val="Heading2"/>
        <w:spacing w:before="300" w:after="160"/>
      </w:pPr>
      <w:r>
        <w:rPr>
          <w:rFonts w:ascii="Arial" w:cs="Arial" w:eastAsia="Arial" w:hAnsi="Arial"/>
          <w:b/>
          <w:bCs/>
          <w:color w:val="2D1A8A"/>
          <w:sz w:val="26"/>
          <w:szCs w:val="26"/>
        </w:rPr>
        <w:t xml:space="preserve">2. The Language Toggle</w:t>
      </w:r>
    </w:p>
    <w:p>
      <w:pPr>
        <w:spacing w:before="80" w:after="80"/>
      </w:pPr>
      <w:r>
        <w:rPr>
          <w:rFonts w:ascii="Arial" w:cs="Arial" w:eastAsia="Arial" w:hAnsi="Arial"/>
          <w:color w:val="222222"/>
          <w:sz w:val="22"/>
          <w:szCs w:val="22"/>
        </w:rPr>
        <w:t xml:space="preserve">The single most important UX feature. One tap switches every label, every alert, every agent output, and every risk summary between three modes:</w:t>
      </w:r>
    </w:p>
    <w:p>
      <w:pPr>
        <w:spacing w:before="0"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3280"/>
        <w:gridCol w:w="4280"/>
      </w:tblGrid>
      <w:tr>
        <w:trPr>
          <w:tblHeader/>
        </w:trPr>
        <w:tc>
          <w:tcPr>
            <w:tcW w:type="dxa" w:w="1800"/>
            <w:tcBorders>
              <w:top w:val="single" w:color="CCCCCC" w:sz="1"/>
              <w:left w:val="single" w:color="CCCCCC" w:sz="1"/>
              <w:bottom w:val="single" w:color="CCCCCC" w:sz="1"/>
              <w:right w:val="single" w:color="CCCCCC"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Mode</w:t>
            </w:r>
          </w:p>
        </w:tc>
        <w:tc>
          <w:tcPr>
            <w:tcW w:type="dxa" w:w="3280"/>
            <w:tcBorders>
              <w:top w:val="single" w:color="CCCCCC" w:sz="1"/>
              <w:left w:val="single" w:color="CCCCCC" w:sz="1"/>
              <w:bottom w:val="single" w:color="CCCCCC" w:sz="1"/>
              <w:right w:val="single" w:color="CCCCCC"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Who It Is For</w:t>
            </w:r>
          </w:p>
        </w:tc>
        <w:tc>
          <w:tcPr>
            <w:tcW w:type="dxa" w:w="4280"/>
            <w:tcBorders>
              <w:top w:val="single" w:color="CCCCCC" w:sz="1"/>
              <w:left w:val="single" w:color="CCCCCC" w:sz="1"/>
              <w:bottom w:val="single" w:color="CCCCCC" w:sz="1"/>
              <w:right w:val="single" w:color="CCCCCC"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What They See</w:t>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Everyday</w:t>
            </w:r>
          </w:p>
        </w:tc>
        <w:tc>
          <w:tcPr>
            <w:tcW w:type="dxa" w:w="32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New users, PayPal/Venmo users</w:t>
            </w:r>
          </w:p>
        </w:tc>
        <w:tc>
          <w:tcPr>
            <w:tcW w:type="dxa" w:w="42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Dollar balances, plain English, zero crypto terms</w:t>
            </w:r>
          </w:p>
        </w:tc>
      </w:tr>
      <w:tr>
        <w:tc>
          <w:tcPr>
            <w:tcW w:type="dxa" w:w="18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Informed</w:t>
            </w:r>
          </w:p>
        </w:tc>
        <w:tc>
          <w:tcPr>
            <w:tcW w:type="dxa" w:w="328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Users learning crypto</w:t>
            </w:r>
          </w:p>
        </w:tc>
        <w:tc>
          <w:tcPr>
            <w:tcW w:type="dxa" w:w="428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Crypto terms with plain explanations on tap</w:t>
            </w:r>
          </w:p>
        </w:tc>
      </w:tr>
      <w:tr>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Pro</w:t>
            </w:r>
          </w:p>
        </w:tc>
        <w:tc>
          <w:tcPr>
            <w:tcW w:type="dxa" w:w="32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Active traders</w:t>
            </w:r>
          </w:p>
        </w:tc>
        <w:tc>
          <w:tcPr>
            <w:tcW w:type="dxa" w:w="42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Full technical data, raw agent outputs, advanced controls</w:t>
            </w:r>
          </w:p>
        </w:tc>
      </w:tr>
    </w:tbl>
    <w:p>
      <w:pPr>
        <w:spacing w:before="0" w:after="120"/>
      </w:pPr>
      <w:r>
        <w:t xml:space="preserve"/>
      </w:r>
    </w:p>
    <w:p>
      <w:pPr>
        <w:spacing w:before="80" w:after="80"/>
      </w:pPr>
      <w:r>
        <w:rPr>
          <w:rFonts w:ascii="Arial" w:cs="Arial" w:eastAsia="Arial" w:hAnsi="Arial"/>
          <w:color w:val="222222"/>
          <w:sz w:val="22"/>
          <w:szCs w:val="22"/>
        </w:rPr>
        <w:t xml:space="preserve">The Language Agent is not a translation layer bolted onto the UI. It is a core output layer that every other agent feeds into. Switching modes changes everything simultaneously.</w:t>
      </w:r>
    </w:p>
    <w:p>
      <w:pPr>
        <w:spacing w:before="0" w:after="120"/>
      </w:pPr>
      <w:r>
        <w:t xml:space="preserve"/>
      </w:r>
    </w:p>
    <w:p>
      <w:pPr>
        <w:pStyle w:val="Heading2"/>
        <w:spacing w:before="300" w:after="160"/>
      </w:pPr>
      <w:r>
        <w:rPr>
          <w:rFonts w:ascii="Arial" w:cs="Arial" w:eastAsia="Arial" w:hAnsi="Arial"/>
          <w:b/>
          <w:bCs/>
          <w:color w:val="2D1A8A"/>
          <w:sz w:val="26"/>
          <w:szCs w:val="26"/>
        </w:rPr>
        <w:t xml:space="preserve">3. Real-World Banking Integration</w:t>
      </w:r>
    </w:p>
    <w:p>
      <w:pPr>
        <w:spacing w:before="80" w:after="80"/>
      </w:pPr>
      <w:r>
        <w:rPr>
          <w:rFonts w:ascii="Arial" w:cs="Arial" w:eastAsia="Arial" w:hAnsi="Arial"/>
          <w:color w:val="222222"/>
          <w:sz w:val="22"/>
          <w:szCs w:val="22"/>
        </w:rPr>
        <w:t xml:space="preserve">The bridge between crypto and traditional finance. Users link their real bank account and the app feels like a fintech app — not a crypto wallet.</w:t>
      </w:r>
    </w:p>
    <w:p>
      <w:pPr>
        <w:spacing w:before="0" w:after="120"/>
      </w:pPr>
      <w:r>
        <w:t xml:space="preserve"/>
      </w:r>
    </w:p>
    <w:p>
      <w:pPr>
        <w:pStyle w:val="Heading3"/>
        <w:spacing w:before="200" w:after="100"/>
      </w:pPr>
      <w:r>
        <w:rPr>
          <w:rFonts w:ascii="Arial" w:cs="Arial" w:eastAsia="Arial" w:hAnsi="Arial"/>
          <w:b/>
          <w:bCs/>
          <w:color w:val="4B2FB8"/>
          <w:sz w:val="22"/>
          <w:szCs w:val="22"/>
        </w:rPr>
        <w:t xml:space="preserve">US Infrastructure Stack</w:t>
      </w:r>
    </w:p>
    <w:p>
      <w:pPr>
        <w:pStyle w:val="ListParagraph"/>
        <w:numPr>
          <w:ilvl w:val="0"/>
          <w:numId w:val="2"/>
        </w:numPr>
        <w:spacing w:before="60" w:after="60"/>
      </w:pPr>
      <w:r>
        <w:rPr>
          <w:rFonts w:ascii="Arial" w:cs="Arial" w:eastAsia="Arial" w:hAnsi="Arial"/>
          <w:b/>
          <w:bCs/>
          <w:color w:val="2D1A8A"/>
          <w:sz w:val="22"/>
          <w:szCs w:val="22"/>
        </w:rPr>
        <w:t xml:space="preserve">Bank linking: </w:t>
      </w:r>
      <w:r>
        <w:rPr>
          <w:rFonts w:ascii="Arial" w:cs="Arial" w:eastAsia="Arial" w:hAnsi="Arial"/>
          <w:color w:val="222222"/>
          <w:sz w:val="22"/>
          <w:szCs w:val="22"/>
        </w:rPr>
        <w:t xml:space="preserve">Plaid</w:t>
      </w:r>
    </w:p>
    <w:p>
      <w:pPr>
        <w:pStyle w:val="ListParagraph"/>
        <w:numPr>
          <w:ilvl w:val="0"/>
          <w:numId w:val="3"/>
        </w:numPr>
        <w:spacing w:before="40" w:after="40"/>
      </w:pPr>
      <w:r>
        <w:rPr>
          <w:rFonts w:ascii="Arial" w:cs="Arial" w:eastAsia="Arial" w:hAnsi="Arial"/>
          <w:color w:val="444444"/>
          <w:sz w:val="20"/>
          <w:szCs w:val="20"/>
        </w:rPr>
        <w:t xml:space="preserve">Connects to virtually every US bank for balance, transaction history, ACH transfers</w:t>
      </w:r>
    </w:p>
    <w:p>
      <w:pPr>
        <w:pStyle w:val="ListParagraph"/>
        <w:numPr>
          <w:ilvl w:val="0"/>
          <w:numId w:val="3"/>
        </w:numPr>
        <w:spacing w:before="40" w:after="40"/>
      </w:pPr>
      <w:r>
        <w:rPr>
          <w:rFonts w:ascii="Arial" w:cs="Arial" w:eastAsia="Arial" w:hAnsi="Arial"/>
          <w:color w:val="444444"/>
          <w:sz w:val="20"/>
          <w:szCs w:val="20"/>
        </w:rPr>
        <w:t xml:space="preserve">Standard integration — same as Venmo, Cash App, Robinhood</w:t>
      </w:r>
    </w:p>
    <w:p>
      <w:pPr>
        <w:pStyle w:val="ListParagraph"/>
        <w:numPr>
          <w:ilvl w:val="0"/>
          <w:numId w:val="2"/>
        </w:numPr>
        <w:spacing w:before="60" w:after="60"/>
      </w:pPr>
      <w:r>
        <w:rPr>
          <w:rFonts w:ascii="Arial" w:cs="Arial" w:eastAsia="Arial" w:hAnsi="Arial"/>
          <w:b/>
          <w:bCs/>
          <w:color w:val="2D1A8A"/>
          <w:sz w:val="22"/>
          <w:szCs w:val="22"/>
        </w:rPr>
        <w:t xml:space="preserve">Fiat-to-USDC bridge: </w:t>
      </w:r>
      <w:r>
        <w:rPr>
          <w:rFonts w:ascii="Arial" w:cs="Arial" w:eastAsia="Arial" w:hAnsi="Arial"/>
          <w:color w:val="222222"/>
          <w:sz w:val="22"/>
          <w:szCs w:val="22"/>
        </w:rPr>
        <w:t xml:space="preserve">Circle</w:t>
      </w:r>
    </w:p>
    <w:p>
      <w:pPr>
        <w:pStyle w:val="ListParagraph"/>
        <w:numPr>
          <w:ilvl w:val="0"/>
          <w:numId w:val="3"/>
        </w:numPr>
        <w:spacing w:before="40" w:after="40"/>
      </w:pPr>
      <w:r>
        <w:rPr>
          <w:rFonts w:ascii="Arial" w:cs="Arial" w:eastAsia="Arial" w:hAnsi="Arial"/>
          <w:color w:val="444444"/>
          <w:sz w:val="20"/>
          <w:szCs w:val="20"/>
        </w:rPr>
        <w:t xml:space="preserve">User deposits $100 from Chase → Circle converts to 100 USDC → lands in wallet</w:t>
      </w:r>
    </w:p>
    <w:p>
      <w:pPr>
        <w:pStyle w:val="ListParagraph"/>
        <w:numPr>
          <w:ilvl w:val="0"/>
          <w:numId w:val="3"/>
        </w:numPr>
        <w:spacing w:before="40" w:after="40"/>
      </w:pPr>
      <w:r>
        <w:rPr>
          <w:rFonts w:ascii="Arial" w:cs="Arial" w:eastAsia="Arial" w:hAnsi="Arial"/>
          <w:color w:val="444444"/>
          <w:sz w:val="20"/>
          <w:szCs w:val="20"/>
        </w:rPr>
        <w:t xml:space="preserve">Redemption works in reverse — instant, transparent, disclosed</w:t>
      </w:r>
    </w:p>
    <w:p>
      <w:pPr>
        <w:pStyle w:val="ListParagraph"/>
        <w:numPr>
          <w:ilvl w:val="0"/>
          <w:numId w:val="2"/>
        </w:numPr>
        <w:spacing w:before="60" w:after="60"/>
      </w:pPr>
      <w:r>
        <w:rPr>
          <w:rFonts w:ascii="Arial" w:cs="Arial" w:eastAsia="Arial" w:hAnsi="Arial"/>
          <w:b/>
          <w:bCs/>
          <w:color w:val="2D1A8A"/>
          <w:sz w:val="22"/>
          <w:szCs w:val="22"/>
        </w:rPr>
        <w:t xml:space="preserve">Account infrastructure: </w:t>
      </w:r>
      <w:r>
        <w:rPr>
          <w:rFonts w:ascii="Arial" w:cs="Arial" w:eastAsia="Arial" w:hAnsi="Arial"/>
          <w:color w:val="222222"/>
          <w:sz w:val="22"/>
          <w:szCs w:val="22"/>
        </w:rPr>
        <w:t xml:space="preserve">Stripe Treasury or Column Bank</w:t>
      </w:r>
    </w:p>
    <w:p>
      <w:pPr>
        <w:pStyle w:val="ListParagraph"/>
        <w:numPr>
          <w:ilvl w:val="0"/>
          <w:numId w:val="3"/>
        </w:numPr>
        <w:spacing w:before="40" w:after="40"/>
      </w:pPr>
      <w:r>
        <w:rPr>
          <w:rFonts w:ascii="Arial" w:cs="Arial" w:eastAsia="Arial" w:hAnsi="Arial"/>
          <w:color w:val="444444"/>
          <w:sz w:val="20"/>
          <w:szCs w:val="20"/>
        </w:rPr>
        <w:t xml:space="preserve">FDIC-insured account infrastructure without holding a banking license</w:t>
      </w:r>
    </w:p>
    <w:p>
      <w:pPr>
        <w:spacing w:before="0" w:after="120"/>
      </w:pPr>
      <w:r>
        <w:t xml:space="preserve"/>
      </w:r>
    </w:p>
    <w:p>
      <w:pPr>
        <w:pStyle w:val="Heading3"/>
        <w:spacing w:before="200" w:after="100"/>
      </w:pPr>
      <w:r>
        <w:rPr>
          <w:rFonts w:ascii="Arial" w:cs="Arial" w:eastAsia="Arial" w:hAnsi="Arial"/>
          <w:b/>
          <w:bCs/>
          <w:color w:val="4B2FB8"/>
          <w:sz w:val="22"/>
          <w:szCs w:val="22"/>
        </w:rPr>
        <w:t xml:space="preserve">International (V2)</w:t>
      </w:r>
    </w:p>
    <w:p>
      <w:pPr>
        <w:pStyle w:val="ListParagraph"/>
        <w:numPr>
          <w:ilvl w:val="0"/>
          <w:numId w:val="2"/>
        </w:numPr>
        <w:spacing w:before="60" w:after="60"/>
      </w:pPr>
      <w:r>
        <w:rPr>
          <w:rFonts w:ascii="Arial" w:cs="Arial" w:eastAsia="Arial" w:hAnsi="Arial"/>
          <w:color w:val="222222"/>
          <w:sz w:val="22"/>
          <w:szCs w:val="22"/>
        </w:rPr>
        <w:t xml:space="preserve">Modulr or Railsr — European e-money institution coverage</w:t>
      </w:r>
    </w:p>
    <w:p>
      <w:pPr>
        <w:pStyle w:val="ListParagraph"/>
        <w:numPr>
          <w:ilvl w:val="0"/>
          <w:numId w:val="2"/>
        </w:numPr>
        <w:spacing w:before="60" w:after="60"/>
      </w:pPr>
      <w:r>
        <w:rPr>
          <w:rFonts w:ascii="Arial" w:cs="Arial" w:eastAsia="Arial" w:hAnsi="Arial"/>
          <w:color w:val="222222"/>
          <w:sz w:val="22"/>
          <w:szCs w:val="22"/>
        </w:rPr>
        <w:t xml:space="preserve">Wise Platform API — 80+ country coverage, strong remittance corridors</w:t>
      </w:r>
    </w:p>
    <w:p>
      <w:pPr>
        <w:pStyle w:val="ListParagraph"/>
        <w:numPr>
          <w:ilvl w:val="0"/>
          <w:numId w:val="2"/>
        </w:numPr>
        <w:spacing w:before="60" w:after="60"/>
      </w:pPr>
      <w:r>
        <w:rPr>
          <w:rFonts w:ascii="Arial" w:cs="Arial" w:eastAsia="Arial" w:hAnsi="Arial"/>
          <w:color w:val="222222"/>
          <w:sz w:val="22"/>
          <w:szCs w:val="22"/>
        </w:rPr>
        <w:t xml:space="preserve">SEPA integration for European bank transfers</w:t>
      </w:r>
    </w:p>
    <w:p>
      <w:pPr>
        <w:spacing w:before="0" w:after="120"/>
      </w:pPr>
      <w:r>
        <w:t xml:space="preserve"/>
      </w:r>
    </w:p>
    <w:p>
      <w:pPr>
        <w:pStyle w:val="Heading2"/>
        <w:spacing w:before="300" w:after="160"/>
      </w:pPr>
      <w:r>
        <w:rPr>
          <w:rFonts w:ascii="Arial" w:cs="Arial" w:eastAsia="Arial" w:hAnsi="Arial"/>
          <w:b/>
          <w:bCs/>
          <w:color w:val="2D1A8A"/>
          <w:sz w:val="26"/>
          <w:szCs w:val="26"/>
        </w:rPr>
        <w:t xml:space="preserve">4. The Pay Feature — Real World Spending</w:t>
      </w:r>
    </w:p>
    <w:p>
      <w:pPr>
        <w:spacing w:before="80" w:after="80"/>
      </w:pPr>
      <w:r>
        <w:rPr>
          <w:rFonts w:ascii="Arial" w:cs="Arial" w:eastAsia="Arial" w:hAnsi="Arial"/>
          <w:color w:val="222222"/>
          <w:sz w:val="22"/>
          <w:szCs w:val="22"/>
        </w:rPr>
        <w:t xml:space="preserve">As easy as PayPal. Powered by crypto infrastructure underneath. Users never need to know the difference.</w:t>
      </w:r>
    </w:p>
    <w:p>
      <w:pPr>
        <w:spacing w:before="0" w:after="120"/>
      </w:pPr>
      <w:r>
        <w:t xml:space="preserve"/>
      </w:r>
    </w:p>
    <w:p>
      <w:pPr>
        <w:pStyle w:val="Heading3"/>
        <w:spacing w:before="200" w:after="100"/>
      </w:pPr>
      <w:r>
        <w:rPr>
          <w:rFonts w:ascii="Arial" w:cs="Arial" w:eastAsia="Arial" w:hAnsi="Arial"/>
          <w:b/>
          <w:bCs/>
          <w:color w:val="4B2FB8"/>
          <w:sz w:val="22"/>
          <w:szCs w:val="22"/>
        </w:rPr>
        <w:t xml:space="preserve">P2P Payments</w:t>
      </w:r>
    </w:p>
    <w:p>
      <w:pPr>
        <w:pStyle w:val="ListParagraph"/>
        <w:numPr>
          <w:ilvl w:val="0"/>
          <w:numId w:val="2"/>
        </w:numPr>
        <w:spacing w:before="60" w:after="60"/>
      </w:pPr>
      <w:r>
        <w:rPr>
          <w:rFonts w:ascii="Arial" w:cs="Arial" w:eastAsia="Arial" w:hAnsi="Arial"/>
          <w:color w:val="222222"/>
          <w:sz w:val="22"/>
          <w:szCs w:val="22"/>
        </w:rPr>
        <w:t xml:space="preserve">Send by phone number, email, username, or QR code</w:t>
      </w:r>
    </w:p>
    <w:p>
      <w:pPr>
        <w:pStyle w:val="ListParagraph"/>
        <w:numPr>
          <w:ilvl w:val="0"/>
          <w:numId w:val="2"/>
        </w:numPr>
        <w:spacing w:before="60" w:after="60"/>
      </w:pPr>
      <w:r>
        <w:rPr>
          <w:rFonts w:ascii="Arial" w:cs="Arial" w:eastAsia="Arial" w:hAnsi="Arial"/>
          <w:color w:val="222222"/>
          <w:sz w:val="22"/>
          <w:szCs w:val="22"/>
        </w:rPr>
        <w:t xml:space="preserve">Request money with a shareable link</w:t>
      </w:r>
    </w:p>
    <w:p>
      <w:pPr>
        <w:pStyle w:val="ListParagraph"/>
        <w:numPr>
          <w:ilvl w:val="0"/>
          <w:numId w:val="2"/>
        </w:numPr>
        <w:spacing w:before="60" w:after="60"/>
      </w:pPr>
      <w:r>
        <w:rPr>
          <w:rFonts w:ascii="Arial" w:cs="Arial" w:eastAsia="Arial" w:hAnsi="Arial"/>
          <w:color w:val="222222"/>
          <w:sz w:val="22"/>
          <w:szCs w:val="22"/>
        </w:rPr>
        <w:t xml:space="preserve">Bill splitting — enter amount, split between contacts, one-tap request to all</w:t>
      </w:r>
    </w:p>
    <w:p>
      <w:pPr>
        <w:pStyle w:val="ListParagraph"/>
        <w:numPr>
          <w:ilvl w:val="0"/>
          <w:numId w:val="2"/>
        </w:numPr>
        <w:spacing w:before="60" w:after="60"/>
      </w:pPr>
      <w:r>
        <w:rPr>
          <w:rFonts w:ascii="Arial" w:cs="Arial" w:eastAsia="Arial" w:hAnsi="Arial"/>
          <w:color w:val="222222"/>
          <w:sz w:val="22"/>
          <w:szCs w:val="22"/>
        </w:rPr>
        <w:t xml:space="preserve">Recurring payments — automated weekly/monthly sends with agent monitoring</w:t>
      </w:r>
    </w:p>
    <w:p>
      <w:pPr>
        <w:pStyle w:val="ListParagraph"/>
        <w:numPr>
          <w:ilvl w:val="0"/>
          <w:numId w:val="2"/>
        </w:numPr>
        <w:spacing w:before="60" w:after="60"/>
      </w:pPr>
      <w:r>
        <w:rPr>
          <w:rFonts w:ascii="Arial" w:cs="Arial" w:eastAsia="Arial" w:hAnsi="Arial"/>
          <w:color w:val="222222"/>
          <w:sz w:val="22"/>
          <w:szCs w:val="22"/>
        </w:rPr>
        <w:t xml:space="preserve">Cross-border transfers at near-zero cost — fractions of a cent vs. PayPal's 3-5%</w:t>
      </w:r>
    </w:p>
    <w:p>
      <w:pPr>
        <w:spacing w:before="0" w:after="120"/>
      </w:pPr>
      <w:r>
        <w:t xml:space="preserve"/>
      </w:r>
    </w:p>
    <w:p>
      <w:pPr>
        <w:pStyle w:val="Heading3"/>
        <w:spacing w:before="200" w:after="100"/>
      </w:pPr>
      <w:r>
        <w:rPr>
          <w:rFonts w:ascii="Arial" w:cs="Arial" w:eastAsia="Arial" w:hAnsi="Arial"/>
          <w:b/>
          <w:bCs/>
          <w:color w:val="4B2FB8"/>
          <w:sz w:val="22"/>
          <w:szCs w:val="22"/>
        </w:rPr>
        <w:t xml:space="preserve">Companion Debit Card (V2)</w:t>
      </w:r>
    </w:p>
    <w:p>
      <w:pPr>
        <w:pStyle w:val="ListParagraph"/>
        <w:numPr>
          <w:ilvl w:val="0"/>
          <w:numId w:val="2"/>
        </w:numPr>
        <w:spacing w:before="60" w:after="60"/>
      </w:pPr>
      <w:r>
        <w:rPr>
          <w:rFonts w:ascii="Arial" w:cs="Arial" w:eastAsia="Arial" w:hAnsi="Arial"/>
          <w:color w:val="222222"/>
          <w:sz w:val="22"/>
          <w:szCs w:val="22"/>
        </w:rPr>
        <w:t xml:space="preserve">Physical and virtual Visa card via Marqeta infrastructure</w:t>
      </w:r>
    </w:p>
    <w:p>
      <w:pPr>
        <w:pStyle w:val="ListParagraph"/>
        <w:numPr>
          <w:ilvl w:val="0"/>
          <w:numId w:val="2"/>
        </w:numPr>
        <w:spacing w:before="60" w:after="60"/>
      </w:pPr>
      <w:r>
        <w:rPr>
          <w:rFonts w:ascii="Arial" w:cs="Arial" w:eastAsia="Arial" w:hAnsi="Arial"/>
          <w:color w:val="222222"/>
          <w:sz w:val="22"/>
          <w:szCs w:val="22"/>
        </w:rPr>
        <w:t xml:space="preserve">Tap or swipe anywhere Visa is accepted — merchant sees a normal transaction</w:t>
      </w:r>
    </w:p>
    <w:p>
      <w:pPr>
        <w:pStyle w:val="ListParagraph"/>
        <w:numPr>
          <w:ilvl w:val="0"/>
          <w:numId w:val="2"/>
        </w:numPr>
        <w:spacing w:before="60" w:after="60"/>
      </w:pPr>
      <w:r>
        <w:rPr>
          <w:rFonts w:ascii="Arial" w:cs="Arial" w:eastAsia="Arial" w:hAnsi="Arial"/>
          <w:color w:val="222222"/>
          <w:sz w:val="22"/>
          <w:szCs w:val="22"/>
        </w:rPr>
        <w:t xml:space="preserve">Real-time USDC-to-USD conversion at point of sale in under 100ms</w:t>
      </w:r>
    </w:p>
    <w:p>
      <w:pPr>
        <w:pStyle w:val="ListParagraph"/>
        <w:numPr>
          <w:ilvl w:val="0"/>
          <w:numId w:val="2"/>
        </w:numPr>
        <w:spacing w:before="60" w:after="60"/>
      </w:pPr>
      <w:r>
        <w:rPr>
          <w:rFonts w:ascii="Arial" w:cs="Arial" w:eastAsia="Arial" w:hAnsi="Arial"/>
          <w:color w:val="222222"/>
          <w:sz w:val="22"/>
          <w:szCs w:val="22"/>
        </w:rPr>
        <w:t xml:space="preserve">In Everyday mode: 'You paid $12.50 at Whole Foods.' In Pro mode: full conversion detail</w:t>
      </w:r>
    </w:p>
    <w:p>
      <w:pPr>
        <w:spacing w:before="0" w:after="120"/>
      </w:pPr>
      <w:r>
        <w:t xml:space="preserve"/>
      </w:r>
    </w:p>
    <w:p>
      <w:pPr>
        <w:pStyle w:val="Heading2"/>
        <w:spacing w:before="300" w:after="160"/>
      </w:pPr>
      <w:r>
        <w:rPr>
          <w:rFonts w:ascii="Arial" w:cs="Arial" w:eastAsia="Arial" w:hAnsi="Arial"/>
          <w:b/>
          <w:bCs/>
          <w:color w:val="2D1A8A"/>
          <w:sz w:val="26"/>
          <w:szCs w:val="26"/>
        </w:rPr>
        <w:t xml:space="preserve">5. On-Chain Public Contacts</w:t>
      </w:r>
    </w:p>
    <w:p>
      <w:pPr>
        <w:spacing w:before="80" w:after="80"/>
      </w:pPr>
      <w:r>
        <w:rPr>
          <w:rFonts w:ascii="Arial" w:cs="Arial" w:eastAsia="Arial" w:hAnsi="Arial"/>
          <w:color w:val="222222"/>
          <w:sz w:val="22"/>
          <w:szCs w:val="22"/>
        </w:rPr>
        <w:t xml:space="preserve">A core architectural differentiator. The contacts layer lives on-chain — not in a centralized database owned by the platform.</w:t>
      </w:r>
    </w:p>
    <w:p>
      <w:pPr>
        <w:pStyle w:val="ListParagraph"/>
        <w:numPr>
          <w:ilvl w:val="0"/>
          <w:numId w:val="2"/>
        </w:numPr>
        <w:spacing w:before="60" w:after="60"/>
      </w:pPr>
      <w:r>
        <w:rPr>
          <w:rFonts w:ascii="Arial" w:cs="Arial" w:eastAsia="Arial" w:hAnsi="Arial"/>
          <w:color w:val="222222"/>
          <w:sz w:val="22"/>
          <w:szCs w:val="22"/>
        </w:rPr>
        <w:t xml:space="preserve">Contacts are discoverable by wallet address, ENS name, or Solana domain</w:t>
      </w:r>
    </w:p>
    <w:p>
      <w:pPr>
        <w:pStyle w:val="ListParagraph"/>
        <w:numPr>
          <w:ilvl w:val="0"/>
          <w:numId w:val="2"/>
        </w:numPr>
        <w:spacing w:before="60" w:after="60"/>
      </w:pPr>
      <w:r>
        <w:rPr>
          <w:rFonts w:ascii="Arial" w:cs="Arial" w:eastAsia="Arial" w:hAnsi="Arial"/>
          <w:color w:val="222222"/>
          <w:sz w:val="22"/>
          <w:szCs w:val="22"/>
        </w:rPr>
        <w:t xml:space="preserve">Contact history and trust signals are on-chain — portable, not platform-locked</w:t>
      </w:r>
    </w:p>
    <w:p>
      <w:pPr>
        <w:pStyle w:val="ListParagraph"/>
        <w:numPr>
          <w:ilvl w:val="0"/>
          <w:numId w:val="2"/>
        </w:numPr>
        <w:spacing w:before="60" w:after="60"/>
      </w:pPr>
      <w:r>
        <w:rPr>
          <w:rFonts w:ascii="Arial" w:cs="Arial" w:eastAsia="Arial" w:hAnsi="Arial"/>
          <w:color w:val="222222"/>
          <w:sz w:val="22"/>
          <w:szCs w:val="22"/>
        </w:rPr>
        <w:t xml:space="preserve">Users own their social graph — it travels with them if they ever switch apps</w:t>
      </w:r>
    </w:p>
    <w:p>
      <w:pPr>
        <w:pStyle w:val="ListParagraph"/>
        <w:numPr>
          <w:ilvl w:val="0"/>
          <w:numId w:val="2"/>
        </w:numPr>
        <w:spacing w:before="60" w:after="60"/>
      </w:pPr>
      <w:r>
        <w:rPr>
          <w:rFonts w:ascii="Arial" w:cs="Arial" w:eastAsia="Arial" w:hAnsi="Arial"/>
          <w:color w:val="222222"/>
          <w:sz w:val="22"/>
          <w:szCs w:val="22"/>
        </w:rPr>
        <w:t xml:space="preserve">Public contact discovery enables true P2P without needing to exchange phone numbers</w:t>
      </w:r>
    </w:p>
    <w:p>
      <w:pPr>
        <w:spacing w:before="0" w:after="120"/>
      </w:pPr>
      <w:r>
        <w:t xml:space="preserve"/>
      </w:r>
    </w:p>
    <w:p>
      <w:pPr>
        <w:pStyle w:val="Heading2"/>
        <w:spacing w:before="300" w:after="160"/>
      </w:pPr>
      <w:r>
        <w:rPr>
          <w:rFonts w:ascii="Arial" w:cs="Arial" w:eastAsia="Arial" w:hAnsi="Arial"/>
          <w:b/>
          <w:bCs/>
          <w:color w:val="2D1A8A"/>
          <w:sz w:val="26"/>
          <w:szCs w:val="26"/>
        </w:rPr>
        <w:t xml:space="preserve">6. No Gas Fees — Ever</w:t>
      </w:r>
    </w:p>
    <w:p>
      <w:pPr>
        <w:spacing w:before="80" w:after="80"/>
      </w:pPr>
      <w:r>
        <w:rPr>
          <w:rFonts w:ascii="Arial" w:cs="Arial" w:eastAsia="Arial" w:hAnsi="Arial"/>
          <w:color w:val="222222"/>
          <w:sz w:val="22"/>
          <w:szCs w:val="22"/>
        </w:rPr>
        <w:t xml:space="preserve">Users never see a gas prompt. Ever. This is the single biggest UX barrier in crypto and we remove it completely.</w:t>
      </w:r>
    </w:p>
    <w:p>
      <w:pPr>
        <w:spacing w:before="0" w:after="120"/>
      </w:pPr>
      <w:r>
        <w:t xml:space="preserve"/>
      </w:r>
    </w:p>
    <w:p>
      <w:pPr>
        <w:pStyle w:val="Heading3"/>
        <w:spacing w:before="200" w:after="100"/>
      </w:pPr>
      <w:r>
        <w:rPr>
          <w:rFonts w:ascii="Arial" w:cs="Arial" w:eastAsia="Arial" w:hAnsi="Arial"/>
          <w:b/>
          <w:bCs/>
          <w:color w:val="4B2FB8"/>
          <w:sz w:val="22"/>
          <w:szCs w:val="22"/>
        </w:rPr>
        <w:t xml:space="preserve">Solana</w:t>
      </w:r>
    </w:p>
    <w:p>
      <w:pPr>
        <w:pStyle w:val="ListParagraph"/>
        <w:numPr>
          <w:ilvl w:val="0"/>
          <w:numId w:val="2"/>
        </w:numPr>
        <w:spacing w:before="60" w:after="60"/>
      </w:pPr>
      <w:r>
        <w:rPr>
          <w:rFonts w:ascii="Arial" w:cs="Arial" w:eastAsia="Arial" w:hAnsi="Arial"/>
          <w:color w:val="222222"/>
          <w:sz w:val="22"/>
          <w:szCs w:val="22"/>
        </w:rPr>
        <w:t xml:space="preserve">Transaction fees are fractions of a cent — absorbed entirely from spread revenue</w:t>
      </w:r>
    </w:p>
    <w:p>
      <w:pPr>
        <w:pStyle w:val="ListParagraph"/>
        <w:numPr>
          <w:ilvl w:val="0"/>
          <w:numId w:val="2"/>
        </w:numPr>
        <w:spacing w:before="60" w:after="60"/>
      </w:pPr>
      <w:r>
        <w:rPr>
          <w:rFonts w:ascii="Arial" w:cs="Arial" w:eastAsia="Arial" w:hAnsi="Arial"/>
          <w:color w:val="222222"/>
          <w:sz w:val="22"/>
          <w:szCs w:val="22"/>
        </w:rPr>
        <w:t xml:space="preserve">At 1M transactions: approximately $50 in total fees — a rounding error against spread revenue</w:t>
      </w:r>
    </w:p>
    <w:p>
      <w:pPr>
        <w:spacing w:before="0" w:after="120"/>
      </w:pPr>
      <w:r>
        <w:t xml:space="preserve"/>
      </w:r>
    </w:p>
    <w:p>
      <w:pPr>
        <w:pStyle w:val="Heading3"/>
        <w:spacing w:before="200" w:after="100"/>
      </w:pPr>
      <w:r>
        <w:rPr>
          <w:rFonts w:ascii="Arial" w:cs="Arial" w:eastAsia="Arial" w:hAnsi="Arial"/>
          <w:b/>
          <w:bCs/>
          <w:color w:val="4B2FB8"/>
          <w:sz w:val="22"/>
          <w:szCs w:val="22"/>
        </w:rPr>
        <w:t xml:space="preserve">EVM (Ethereum Layer 2)</w:t>
      </w:r>
    </w:p>
    <w:p>
      <w:pPr>
        <w:pStyle w:val="ListParagraph"/>
        <w:numPr>
          <w:ilvl w:val="0"/>
          <w:numId w:val="2"/>
        </w:numPr>
        <w:spacing w:before="60" w:after="60"/>
      </w:pPr>
      <w:r>
        <w:rPr>
          <w:rFonts w:ascii="Arial" w:cs="Arial" w:eastAsia="Arial" w:hAnsi="Arial"/>
          <w:color w:val="222222"/>
          <w:sz w:val="22"/>
          <w:szCs w:val="22"/>
        </w:rPr>
        <w:t xml:space="preserve">Default to Arbitrum, Base, or Optimism — fees $0.01 to $0.10 per transaction</w:t>
      </w:r>
    </w:p>
    <w:p>
      <w:pPr>
        <w:pStyle w:val="ListParagraph"/>
        <w:numPr>
          <w:ilvl w:val="0"/>
          <w:numId w:val="2"/>
        </w:numPr>
        <w:spacing w:before="60" w:after="60"/>
      </w:pPr>
      <w:r>
        <w:rPr>
          <w:rFonts w:ascii="Arial" w:cs="Arial" w:eastAsia="Arial" w:hAnsi="Arial"/>
          <w:color w:val="222222"/>
          <w:sz w:val="22"/>
          <w:szCs w:val="22"/>
        </w:rPr>
        <w:t xml:space="preserve">ERC-4337 Account Abstraction with paymaster architecture — we sponsor gas on behalf of users</w:t>
      </w:r>
    </w:p>
    <w:p>
      <w:pPr>
        <w:pStyle w:val="ListParagraph"/>
        <w:numPr>
          <w:ilvl w:val="0"/>
          <w:numId w:val="2"/>
        </w:numPr>
        <w:spacing w:before="60" w:after="60"/>
      </w:pPr>
      <w:r>
        <w:rPr>
          <w:rFonts w:ascii="Arial" w:cs="Arial" w:eastAsia="Arial" w:hAnsi="Arial"/>
          <w:color w:val="222222"/>
          <w:sz w:val="22"/>
          <w:szCs w:val="22"/>
        </w:rPr>
        <w:t xml:space="preserve">The paymaster cost is recovered from spread revenue — math works at any reasonable volume</w:t>
      </w:r>
    </w:p>
    <w:p>
      <w:pPr>
        <w:spacing w:before="0" w:after="12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200"/>
        <w:gridCol w:w="9160"/>
      </w:tblGrid>
      <w:tr>
        <w:tc>
          <w:tcPr>
            <w:tcW w:type="dxa" w:w="200"/>
            <w:tcBorders>
              <w:top w:val="none" w:color="FFFFFF" w:sz="0"/>
              <w:left w:val="none" w:color="FFFFFF" w:sz="0"/>
              <w:bottom w:val="none" w:color="FFFFFF" w:sz="0"/>
              <w:right w:val="none" w:color="FFFFFF" w:sz="0"/>
            </w:tcBorders>
            <w:shd w:fill="4B2FB8" w:val="clear"/>
            <w:tcMar>
              <w:top w:type="dxa" w:w="80"/>
              <w:left w:type="dxa" w:w="80"/>
              <w:bottom w:type="dxa" w:w="80"/>
              <w:right w:type="dxa" w:w="80"/>
            </w:tcMar>
          </w:tcPr>
          <w:p>
            <w:r>
              <w:rPr>
                <w:rFonts w:ascii="Arial" w:cs="Arial" w:eastAsia="Arial" w:hAnsi="Arial"/>
                <w:sz w:val="20"/>
                <w:szCs w:val="20"/>
              </w:rPr>
              <w:t xml:space="preserve"/>
            </w:r>
          </w:p>
        </w:tc>
        <w:tc>
          <w:tcPr>
            <w:tcW w:type="dxa" w:w="9160"/>
            <w:tcBorders>
              <w:top w:val="none" w:color="FFFFFF" w:sz="0"/>
              <w:left w:val="none" w:color="FFFFFF" w:sz="0"/>
              <w:bottom w:val="none" w:color="FFFFFF" w:sz="0"/>
              <w:right w:val="none" w:color="FFFFFF" w:sz="0"/>
            </w:tcBorders>
            <w:shd w:fill="F0EDFF" w:val="clear"/>
            <w:tcMar>
              <w:top w:type="dxa" w:w="100"/>
              <w:left w:type="dxa" w:w="200"/>
              <w:bottom w:type="dxa" w:w="100"/>
              <w:right w:type="dxa" w:w="120"/>
            </w:tcMar>
          </w:tcPr>
          <w:p>
            <w:r>
              <w:rPr>
                <w:rFonts w:ascii="Arial" w:cs="Arial" w:eastAsia="Arial" w:hAnsi="Arial"/>
                <w:b/>
                <w:bCs/>
                <w:color w:val="6B4FD8"/>
                <w:sz w:val="20"/>
                <w:szCs w:val="20"/>
              </w:rPr>
              <w:t xml:space="preserve">User Pitch</w:t>
            </w:r>
          </w:p>
          <w:p>
            <w:pPr>
              <w:spacing w:before="40"/>
            </w:pPr>
            <w:r>
              <w:rPr>
                <w:rFonts w:ascii="Arial" w:cs="Arial" w:eastAsia="Arial" w:hAnsi="Arial"/>
                <w:color w:val="333333"/>
                <w:sz w:val="20"/>
                <w:szCs w:val="20"/>
              </w:rPr>
              <w:t xml:space="preserve">No fees. Ever. Our exchange rate includes a small, disclosed markup — always lower than Coinbase, Cash App, and PayPal. That is the entire fee story.</w:t>
            </w:r>
          </w:p>
        </w:tc>
      </w:tr>
    </w:tbl>
    <w:p>
      <w:pPr>
        <w:spacing w:before="0" w:after="120"/>
      </w:pPr>
      <w:r>
        <w:t xml:space="preserve"/>
      </w:r>
    </w:p>
    <w:p>
      <w:pPr>
        <w:pStyle w:val="Heading2"/>
        <w:spacing w:before="300" w:after="160"/>
      </w:pPr>
      <w:r>
        <w:rPr>
          <w:rFonts w:ascii="Arial" w:cs="Arial" w:eastAsia="Arial" w:hAnsi="Arial"/>
          <w:b/>
          <w:bCs/>
          <w:color w:val="2D1A8A"/>
          <w:sz w:val="26"/>
          <w:szCs w:val="26"/>
        </w:rPr>
        <w:t xml:space="preserve">7. The Agent Coordination Stack</w:t>
      </w:r>
    </w:p>
    <w:p>
      <w:pPr>
        <w:spacing w:before="80" w:after="80"/>
      </w:pPr>
      <w:r>
        <w:rPr>
          <w:rFonts w:ascii="Arial" w:cs="Arial" w:eastAsia="Arial" w:hAnsi="Arial"/>
          <w:color w:val="222222"/>
          <w:sz w:val="22"/>
          <w:szCs w:val="22"/>
        </w:rPr>
        <w:t xml:space="preserve">The intelligence layer that makes every user a smarter trader. Five specialized agents coordinated by an orchestrator. No single agent does the valuable work — the coordination layer does.</w:t>
      </w:r>
    </w:p>
    <w:p>
      <w:pPr>
        <w:spacing w:before="0" w:after="120"/>
      </w:pPr>
      <w:r>
        <w:t xml:space="preserve"/>
      </w:r>
    </w:p>
    <w:p>
      <w:pPr>
        <w:pStyle w:val="Heading3"/>
        <w:spacing w:before="200" w:after="100"/>
      </w:pPr>
      <w:r>
        <w:rPr>
          <w:rFonts w:ascii="Arial" w:cs="Arial" w:eastAsia="Arial" w:hAnsi="Arial"/>
          <w:b/>
          <w:bCs/>
          <w:color w:val="4B2FB8"/>
          <w:sz w:val="22"/>
          <w:szCs w:val="22"/>
        </w:rPr>
        <w:t xml:space="preserve">Agent 1 — Market Intelligence Agent</w:t>
      </w:r>
    </w:p>
    <w:p>
      <w:pPr>
        <w:pStyle w:val="ListParagraph"/>
        <w:numPr>
          <w:ilvl w:val="0"/>
          <w:numId w:val="2"/>
        </w:numPr>
        <w:spacing w:before="60" w:after="60"/>
      </w:pPr>
      <w:r>
        <w:rPr>
          <w:rFonts w:ascii="Arial" w:cs="Arial" w:eastAsia="Arial" w:hAnsi="Arial"/>
          <w:color w:val="222222"/>
          <w:sz w:val="22"/>
          <w:szCs w:val="22"/>
        </w:rPr>
        <w:t xml:space="preserve">Runs continuously in background — ambient analyst</w:t>
      </w:r>
    </w:p>
    <w:p>
      <w:pPr>
        <w:pStyle w:val="ListParagraph"/>
        <w:numPr>
          <w:ilvl w:val="0"/>
          <w:numId w:val="2"/>
        </w:numPr>
        <w:spacing w:before="60" w:after="60"/>
      </w:pPr>
      <w:r>
        <w:rPr>
          <w:rFonts w:ascii="Arial" w:cs="Arial" w:eastAsia="Arial" w:hAnsi="Arial"/>
          <w:color w:val="222222"/>
          <w:sz w:val="22"/>
          <w:szCs w:val="22"/>
        </w:rPr>
        <w:t xml:space="preserve">Tracks price, volume, liquidity depth, and volatility for held and watched assets</w:t>
      </w:r>
    </w:p>
    <w:p>
      <w:pPr>
        <w:pStyle w:val="ListParagraph"/>
        <w:numPr>
          <w:ilvl w:val="0"/>
          <w:numId w:val="2"/>
        </w:numPr>
        <w:spacing w:before="60" w:after="60"/>
      </w:pPr>
      <w:r>
        <w:rPr>
          <w:rFonts w:ascii="Arial" w:cs="Arial" w:eastAsia="Arial" w:hAnsi="Arial"/>
          <w:color w:val="222222"/>
          <w:sz w:val="22"/>
          <w:szCs w:val="22"/>
        </w:rPr>
        <w:t xml:space="preserve">Monitors whale wallet movements on Solana (via Helius) and EVM (via Alchemy)</w:t>
      </w:r>
    </w:p>
    <w:p>
      <w:pPr>
        <w:pStyle w:val="ListParagraph"/>
        <w:numPr>
          <w:ilvl w:val="0"/>
          <w:numId w:val="2"/>
        </w:numPr>
        <w:spacing w:before="60" w:after="60"/>
      </w:pPr>
      <w:r>
        <w:rPr>
          <w:rFonts w:ascii="Arial" w:cs="Arial" w:eastAsia="Arial" w:hAnsi="Arial"/>
          <w:color w:val="222222"/>
          <w:sz w:val="22"/>
          <w:szCs w:val="22"/>
        </w:rPr>
        <w:t xml:space="preserve">Tracks funding rates on perpetual markets as overcrowding signals</w:t>
      </w:r>
    </w:p>
    <w:p>
      <w:pPr>
        <w:pStyle w:val="ListParagraph"/>
        <w:numPr>
          <w:ilvl w:val="0"/>
          <w:numId w:val="2"/>
        </w:numPr>
        <w:spacing w:before="60" w:after="60"/>
      </w:pPr>
      <w:r>
        <w:rPr>
          <w:rFonts w:ascii="Arial" w:cs="Arial" w:eastAsia="Arial" w:hAnsi="Arial"/>
          <w:color w:val="222222"/>
          <w:sz w:val="22"/>
          <w:szCs w:val="22"/>
        </w:rPr>
        <w:t xml:space="preserve">Produces plain-language daily brief — push notification, not a wall of charts</w:t>
      </w:r>
    </w:p>
    <w:p>
      <w:pPr>
        <w:pStyle w:val="ListParagraph"/>
        <w:numPr>
          <w:ilvl w:val="0"/>
          <w:numId w:val="2"/>
        </w:numPr>
        <w:spacing w:before="60" w:after="60"/>
      </w:pPr>
      <w:r>
        <w:rPr>
          <w:rFonts w:ascii="Arial" w:cs="Arial" w:eastAsia="Arial" w:hAnsi="Arial"/>
          <w:color w:val="222222"/>
          <w:sz w:val="22"/>
          <w:szCs w:val="22"/>
        </w:rPr>
        <w:t xml:space="preserve">Output in Everyday mode: 'SOL moved 8% overnight on higher than usual activity. You hold $240 of SOL.'</w:t>
      </w:r>
    </w:p>
    <w:p>
      <w:pPr>
        <w:pStyle w:val="ListParagraph"/>
        <w:numPr>
          <w:ilvl w:val="0"/>
          <w:numId w:val="2"/>
        </w:numPr>
        <w:spacing w:before="60" w:after="60"/>
      </w:pPr>
      <w:r>
        <w:rPr>
          <w:rFonts w:ascii="Arial" w:cs="Arial" w:eastAsia="Arial" w:hAnsi="Arial"/>
          <w:color w:val="222222"/>
          <w:sz w:val="22"/>
          <w:szCs w:val="22"/>
        </w:rPr>
        <w:t xml:space="preserve">Output in Pro mode: full technical analysis with on-chain metrics</w:t>
      </w:r>
    </w:p>
    <w:p>
      <w:pPr>
        <w:spacing w:before="0" w:after="120"/>
      </w:pPr>
      <w:r>
        <w:t xml:space="preserve"/>
      </w:r>
    </w:p>
    <w:p>
      <w:pPr>
        <w:pStyle w:val="Heading3"/>
        <w:spacing w:before="200" w:after="100"/>
      </w:pPr>
      <w:r>
        <w:rPr>
          <w:rFonts w:ascii="Arial" w:cs="Arial" w:eastAsia="Arial" w:hAnsi="Arial"/>
          <w:b/>
          <w:bCs/>
          <w:color w:val="4B2FB8"/>
          <w:sz w:val="22"/>
          <w:szCs w:val="22"/>
        </w:rPr>
        <w:t xml:space="preserve">Agent 2 — Trade Safety Agent</w:t>
      </w:r>
    </w:p>
    <w:p>
      <w:pPr>
        <w:pStyle w:val="ListParagraph"/>
        <w:numPr>
          <w:ilvl w:val="0"/>
          <w:numId w:val="2"/>
        </w:numPr>
        <w:spacing w:before="60" w:after="60"/>
      </w:pPr>
      <w:r>
        <w:rPr>
          <w:rFonts w:ascii="Arial" w:cs="Arial" w:eastAsia="Arial" w:hAnsi="Arial"/>
          <w:color w:val="222222"/>
          <w:sz w:val="22"/>
          <w:szCs w:val="22"/>
        </w:rPr>
        <w:t xml:space="preserve">Fires on every single trade — non-negotiable, non-skippable</w:t>
      </w:r>
    </w:p>
    <w:p>
      <w:pPr>
        <w:pStyle w:val="ListParagraph"/>
        <w:numPr>
          <w:ilvl w:val="0"/>
          <w:numId w:val="2"/>
        </w:numPr>
        <w:spacing w:before="60" w:after="60"/>
      </w:pPr>
      <w:r>
        <w:rPr>
          <w:rFonts w:ascii="Arial" w:cs="Arial" w:eastAsia="Arial" w:hAnsi="Arial"/>
          <w:color w:val="222222"/>
          <w:sz w:val="22"/>
          <w:szCs w:val="22"/>
        </w:rPr>
        <w:t xml:space="preserve">Simulates transaction before execution — shows exactly what moves where</w:t>
      </w:r>
    </w:p>
    <w:p>
      <w:pPr>
        <w:pStyle w:val="ListParagraph"/>
        <w:numPr>
          <w:ilvl w:val="0"/>
          <w:numId w:val="2"/>
        </w:numPr>
        <w:spacing w:before="60" w:after="60"/>
      </w:pPr>
      <w:r>
        <w:rPr>
          <w:rFonts w:ascii="Arial" w:cs="Arial" w:eastAsia="Arial" w:hAnsi="Arial"/>
          <w:color w:val="222222"/>
          <w:sz w:val="22"/>
          <w:szCs w:val="22"/>
        </w:rPr>
        <w:t xml:space="preserve">Checks liquidity depth — flags insufficient liquidity for trade size</w:t>
      </w:r>
    </w:p>
    <w:p>
      <w:pPr>
        <w:pStyle w:val="ListParagraph"/>
        <w:numPr>
          <w:ilvl w:val="0"/>
          <w:numId w:val="2"/>
        </w:numPr>
        <w:spacing w:before="60" w:after="60"/>
      </w:pPr>
      <w:r>
        <w:rPr>
          <w:rFonts w:ascii="Arial" w:cs="Arial" w:eastAsia="Arial" w:hAnsi="Arial"/>
          <w:color w:val="222222"/>
          <w:sz w:val="22"/>
          <w:szCs w:val="22"/>
        </w:rPr>
        <w:t xml:space="preserve">Verifies token contract: age, audit status, mint functions, upgrade authority</w:t>
      </w:r>
    </w:p>
    <w:p>
      <w:pPr>
        <w:pStyle w:val="ListParagraph"/>
        <w:numPr>
          <w:ilvl w:val="0"/>
          <w:numId w:val="2"/>
        </w:numPr>
        <w:spacing w:before="60" w:after="60"/>
      </w:pPr>
      <w:r>
        <w:rPr>
          <w:rFonts w:ascii="Arial" w:cs="Arial" w:eastAsia="Arial" w:hAnsi="Arial"/>
          <w:color w:val="222222"/>
          <w:sz w:val="22"/>
          <w:szCs w:val="22"/>
        </w:rPr>
        <w:t xml:space="preserve">Honeypot detection via API — tokens engineered so you can buy but not sell</w:t>
      </w:r>
    </w:p>
    <w:p>
      <w:pPr>
        <w:pStyle w:val="ListParagraph"/>
        <w:numPr>
          <w:ilvl w:val="0"/>
          <w:numId w:val="2"/>
        </w:numPr>
        <w:spacing w:before="60" w:after="60"/>
      </w:pPr>
      <w:r>
        <w:rPr>
          <w:rFonts w:ascii="Arial" w:cs="Arial" w:eastAsia="Arial" w:hAnsi="Arial"/>
          <w:color w:val="222222"/>
          <w:sz w:val="22"/>
          <w:szCs w:val="22"/>
        </w:rPr>
        <w:t xml:space="preserve">Flags tokens up 40%+ in 24h with no fundamental news — statistical exit signal</w:t>
      </w:r>
    </w:p>
    <w:p>
      <w:pPr>
        <w:pStyle w:val="ListParagraph"/>
        <w:numPr>
          <w:ilvl w:val="0"/>
          <w:numId w:val="2"/>
        </w:numPr>
        <w:spacing w:before="60" w:after="60"/>
      </w:pPr>
      <w:r>
        <w:rPr>
          <w:rFonts w:ascii="Arial" w:cs="Arial" w:eastAsia="Arial" w:hAnsi="Arial"/>
          <w:color w:val="222222"/>
          <w:sz w:val="22"/>
          <w:szCs w:val="22"/>
        </w:rPr>
        <w:t xml:space="preserve">Produces three-line plain English verdict before every trade</w:t>
      </w:r>
    </w:p>
    <w:p>
      <w:pPr>
        <w:spacing w:before="0" w:after="120"/>
      </w:pPr>
      <w:r>
        <w:t xml:space="preserve"/>
      </w:r>
    </w:p>
    <w:p>
      <w:pPr>
        <w:pStyle w:val="Heading3"/>
        <w:spacing w:before="200" w:after="100"/>
      </w:pPr>
      <w:r>
        <w:rPr>
          <w:rFonts w:ascii="Arial" w:cs="Arial" w:eastAsia="Arial" w:hAnsi="Arial"/>
          <w:b/>
          <w:bCs/>
          <w:color w:val="4B2FB8"/>
          <w:sz w:val="22"/>
          <w:szCs w:val="22"/>
        </w:rPr>
        <w:t xml:space="preserve">Agent 3 — Counterparty Intelligence Agent</w:t>
      </w:r>
    </w:p>
    <w:p>
      <w:pPr>
        <w:pStyle w:val="ListParagraph"/>
        <w:numPr>
          <w:ilvl w:val="0"/>
          <w:numId w:val="2"/>
        </w:numPr>
        <w:spacing w:before="60" w:after="60"/>
      </w:pPr>
      <w:r>
        <w:rPr>
          <w:rFonts w:ascii="Arial" w:cs="Arial" w:eastAsia="Arial" w:hAnsi="Arial"/>
          <w:color w:val="222222"/>
          <w:sz w:val="22"/>
          <w:szCs w:val="22"/>
        </w:rPr>
        <w:t xml:space="preserve">Specific to P2P trading — builds trust picture of every counterparty</w:t>
      </w:r>
    </w:p>
    <w:p>
      <w:pPr>
        <w:pStyle w:val="ListParagraph"/>
        <w:numPr>
          <w:ilvl w:val="0"/>
          <w:numId w:val="2"/>
        </w:numPr>
        <w:spacing w:before="60" w:after="60"/>
      </w:pPr>
      <w:r>
        <w:rPr>
          <w:rFonts w:ascii="Arial" w:cs="Arial" w:eastAsia="Arial" w:hAnsi="Arial"/>
          <w:color w:val="222222"/>
          <w:sz w:val="22"/>
          <w:szCs w:val="22"/>
        </w:rPr>
        <w:t xml:space="preserve">On-chain history: wallet age, transaction count, typical patterns, flagged interactions</w:t>
      </w:r>
    </w:p>
    <w:p>
      <w:pPr>
        <w:pStyle w:val="ListParagraph"/>
        <w:numPr>
          <w:ilvl w:val="0"/>
          <w:numId w:val="2"/>
        </w:numPr>
        <w:spacing w:before="60" w:after="60"/>
      </w:pPr>
      <w:r>
        <w:rPr>
          <w:rFonts w:ascii="Arial" w:cs="Arial" w:eastAsia="Arial" w:hAnsi="Arial"/>
          <w:color w:val="222222"/>
          <w:sz w:val="22"/>
          <w:szCs w:val="22"/>
        </w:rPr>
        <w:t xml:space="preserve">Reputation score derived purely from public chain data — not centralized, not gameable</w:t>
      </w:r>
    </w:p>
    <w:p>
      <w:pPr>
        <w:pStyle w:val="ListParagraph"/>
        <w:numPr>
          <w:ilvl w:val="0"/>
          <w:numId w:val="2"/>
        </w:numPr>
        <w:spacing w:before="60" w:after="60"/>
      </w:pPr>
      <w:r>
        <w:rPr>
          <w:rFonts w:ascii="Arial" w:cs="Arial" w:eastAsia="Arial" w:hAnsi="Arial"/>
          <w:color w:val="222222"/>
          <w:sz w:val="22"/>
          <w:szCs w:val="22"/>
        </w:rPr>
        <w:t xml:space="preserve">Flags brand new wallets, unusual patterns, or prior involvement in failed trades</w:t>
      </w:r>
    </w:p>
    <w:p>
      <w:pPr>
        <w:pStyle w:val="ListParagraph"/>
        <w:numPr>
          <w:ilvl w:val="0"/>
          <w:numId w:val="2"/>
        </w:numPr>
        <w:spacing w:before="60" w:after="60"/>
      </w:pPr>
      <w:r>
        <w:rPr>
          <w:rFonts w:ascii="Arial" w:cs="Arial" w:eastAsia="Arial" w:hAnsi="Arial"/>
          <w:color w:val="222222"/>
          <w:sz w:val="22"/>
          <w:szCs w:val="22"/>
        </w:rPr>
        <w:t xml:space="preserve">Builds trust history for repeat counterparties — gets smarter over time</w:t>
      </w:r>
    </w:p>
    <w:p>
      <w:pPr>
        <w:spacing w:before="0" w:after="120"/>
      </w:pPr>
      <w:r>
        <w:t xml:space="preserve"/>
      </w:r>
    </w:p>
    <w:p>
      <w:pPr>
        <w:pStyle w:val="Heading3"/>
        <w:spacing w:before="200" w:after="100"/>
      </w:pPr>
      <w:r>
        <w:rPr>
          <w:rFonts w:ascii="Arial" w:cs="Arial" w:eastAsia="Arial" w:hAnsi="Arial"/>
          <w:b/>
          <w:bCs/>
          <w:color w:val="4B2FB8"/>
          <w:sz w:val="22"/>
          <w:szCs w:val="22"/>
        </w:rPr>
        <w:t xml:space="preserve">Agent 4 — Portfolio Intelligence Agent</w:t>
      </w:r>
    </w:p>
    <w:p>
      <w:pPr>
        <w:pStyle w:val="ListParagraph"/>
        <w:numPr>
          <w:ilvl w:val="0"/>
          <w:numId w:val="2"/>
        </w:numPr>
        <w:spacing w:before="60" w:after="60"/>
      </w:pPr>
      <w:r>
        <w:rPr>
          <w:rFonts w:ascii="Arial" w:cs="Arial" w:eastAsia="Arial" w:hAnsi="Arial"/>
          <w:color w:val="222222"/>
          <w:sz w:val="22"/>
          <w:szCs w:val="22"/>
        </w:rPr>
        <w:t xml:space="preserve">Tracks concentration risk — flags if over 40% in a single asset</w:t>
      </w:r>
    </w:p>
    <w:p>
      <w:pPr>
        <w:pStyle w:val="ListParagraph"/>
        <w:numPr>
          <w:ilvl w:val="0"/>
          <w:numId w:val="2"/>
        </w:numPr>
        <w:spacing w:before="60" w:after="60"/>
      </w:pPr>
      <w:r>
        <w:rPr>
          <w:rFonts w:ascii="Arial" w:cs="Arial" w:eastAsia="Arial" w:hAnsi="Arial"/>
          <w:color w:val="222222"/>
          <w:sz w:val="22"/>
          <w:szCs w:val="22"/>
        </w:rPr>
        <w:t xml:space="preserve">Monitors unrealized P&amp;L with clear surface to the user</w:t>
      </w:r>
    </w:p>
    <w:p>
      <w:pPr>
        <w:pStyle w:val="ListParagraph"/>
        <w:numPr>
          <w:ilvl w:val="0"/>
          <w:numId w:val="2"/>
        </w:numPr>
        <w:spacing w:before="60" w:after="60"/>
      </w:pPr>
      <w:r>
        <w:rPr>
          <w:rFonts w:ascii="Arial" w:cs="Arial" w:eastAsia="Arial" w:hAnsi="Arial"/>
          <w:color w:val="222222"/>
          <w:sz w:val="22"/>
          <w:szCs w:val="22"/>
        </w:rPr>
        <w:t xml:space="preserve">Identifies user trading patterns: 'You have sold within 48h of buying this asset 7 of the last 10 times'</w:t>
      </w:r>
    </w:p>
    <w:p>
      <w:pPr>
        <w:pStyle w:val="ListParagraph"/>
        <w:numPr>
          <w:ilvl w:val="0"/>
          <w:numId w:val="2"/>
        </w:numPr>
        <w:spacing w:before="60" w:after="60"/>
      </w:pPr>
      <w:r>
        <w:rPr>
          <w:rFonts w:ascii="Arial" w:cs="Arial" w:eastAsia="Arial" w:hAnsi="Arial"/>
          <w:color w:val="222222"/>
          <w:sz w:val="22"/>
          <w:szCs w:val="22"/>
        </w:rPr>
        <w:t xml:space="preserve">Monitors yield opportunities on idle stablecoins with one-tap deployment</w:t>
      </w:r>
    </w:p>
    <w:p>
      <w:pPr>
        <w:pStyle w:val="ListParagraph"/>
        <w:numPr>
          <w:ilvl w:val="0"/>
          <w:numId w:val="2"/>
        </w:numPr>
        <w:spacing w:before="60" w:after="60"/>
      </w:pPr>
      <w:r>
        <w:rPr>
          <w:rFonts w:ascii="Arial" w:cs="Arial" w:eastAsia="Arial" w:hAnsi="Arial"/>
          <w:color w:val="222222"/>
          <w:sz w:val="22"/>
          <w:szCs w:val="22"/>
        </w:rPr>
        <w:t xml:space="preserve">Gas and fee optimization on EVM — tracks optimal transaction timing</w:t>
      </w:r>
    </w:p>
    <w:p>
      <w:pPr>
        <w:pStyle w:val="ListParagraph"/>
        <w:numPr>
          <w:ilvl w:val="0"/>
          <w:numId w:val="2"/>
        </w:numPr>
        <w:spacing w:before="60" w:after="60"/>
      </w:pPr>
      <w:r>
        <w:rPr>
          <w:rFonts w:ascii="Arial" w:cs="Arial" w:eastAsia="Arial" w:hAnsi="Arial"/>
          <w:color w:val="222222"/>
          <w:sz w:val="22"/>
          <w:szCs w:val="22"/>
        </w:rPr>
        <w:t xml:space="preserve">Exit scenario modeling: 'If this drops 20%, your portfolio looks like this'</w:t>
      </w:r>
    </w:p>
    <w:p>
      <w:pPr>
        <w:spacing w:before="0" w:after="120"/>
      </w:pPr>
      <w:r>
        <w:t xml:space="preserve"/>
      </w:r>
    </w:p>
    <w:p>
      <w:pPr>
        <w:pStyle w:val="Heading3"/>
        <w:spacing w:before="200" w:after="100"/>
      </w:pPr>
      <w:r>
        <w:rPr>
          <w:rFonts w:ascii="Arial" w:cs="Arial" w:eastAsia="Arial" w:hAnsi="Arial"/>
          <w:b/>
          <w:bCs/>
          <w:color w:val="4B2FB8"/>
          <w:sz w:val="22"/>
          <w:szCs w:val="22"/>
        </w:rPr>
        <w:t xml:space="preserve">Agent 5 — Orchestrator</w:t>
      </w:r>
    </w:p>
    <w:p>
      <w:pPr>
        <w:pStyle w:val="ListParagraph"/>
        <w:numPr>
          <w:ilvl w:val="0"/>
          <w:numId w:val="2"/>
        </w:numPr>
        <w:spacing w:before="60" w:after="60"/>
      </w:pPr>
      <w:r>
        <w:rPr>
          <w:rFonts w:ascii="Arial" w:cs="Arial" w:eastAsia="Arial" w:hAnsi="Arial"/>
          <w:color w:val="222222"/>
          <w:sz w:val="22"/>
          <w:szCs w:val="22"/>
        </w:rPr>
        <w:t xml:space="preserve">Sits above all four agents — manages conflicts, prioritizes alerts</w:t>
      </w:r>
    </w:p>
    <w:p>
      <w:pPr>
        <w:pStyle w:val="ListParagraph"/>
        <w:numPr>
          <w:ilvl w:val="0"/>
          <w:numId w:val="2"/>
        </w:numPr>
        <w:spacing w:before="60" w:after="60"/>
      </w:pPr>
      <w:r>
        <w:rPr>
          <w:rFonts w:ascii="Arial" w:cs="Arial" w:eastAsia="Arial" w:hAnsi="Arial"/>
          <w:color w:val="222222"/>
          <w:sz w:val="22"/>
          <w:szCs w:val="22"/>
        </w:rPr>
        <w:t xml:space="preserve">Applies ruthless relevance filter — when something reaches the user, it genuinely matters</w:t>
      </w:r>
    </w:p>
    <w:p>
      <w:pPr>
        <w:pStyle w:val="ListParagraph"/>
        <w:numPr>
          <w:ilvl w:val="0"/>
          <w:numId w:val="2"/>
        </w:numPr>
        <w:spacing w:before="60" w:after="60"/>
      </w:pPr>
      <w:r>
        <w:rPr>
          <w:rFonts w:ascii="Arial" w:cs="Arial" w:eastAsia="Arial" w:hAnsi="Arial"/>
          <w:color w:val="222222"/>
          <w:sz w:val="22"/>
          <w:szCs w:val="22"/>
        </w:rPr>
        <w:t xml:space="preserve">Manages the human-in-the-loop checkpoint: which decisions pause for approval vs. execute autonomously</w:t>
      </w:r>
    </w:p>
    <w:p>
      <w:pPr>
        <w:pStyle w:val="ListParagraph"/>
        <w:numPr>
          <w:ilvl w:val="0"/>
          <w:numId w:val="2"/>
        </w:numPr>
        <w:spacing w:before="60" w:after="60"/>
      </w:pPr>
      <w:r>
        <w:rPr>
          <w:rFonts w:ascii="Arial" w:cs="Arial" w:eastAsia="Arial" w:hAnsi="Arial"/>
          <w:color w:val="222222"/>
          <w:sz w:val="22"/>
          <w:szCs w:val="22"/>
        </w:rPr>
        <w:t xml:space="preserve">Routes all output through the Language Agent before user-facing delivery</w:t>
      </w:r>
    </w:p>
    <w:p>
      <w:pPr>
        <w:pStyle w:val="ListParagraph"/>
        <w:numPr>
          <w:ilvl w:val="0"/>
          <w:numId w:val="2"/>
        </w:numPr>
        <w:spacing w:before="60" w:after="60"/>
      </w:pPr>
      <w:r>
        <w:rPr>
          <w:rFonts w:ascii="Arial" w:cs="Arial" w:eastAsia="Arial" w:hAnsi="Arial"/>
          <w:color w:val="222222"/>
          <w:sz w:val="22"/>
          <w:szCs w:val="22"/>
        </w:rPr>
        <w:t xml:space="preserve">Logs every agent handoff — creates the audit trail for compliance and debugging</w:t>
      </w:r>
    </w:p>
    <w:p>
      <w:pPr>
        <w:spacing w:before="0" w:after="120"/>
      </w:pPr>
      <w:r>
        <w:t xml:space="preserve"/>
      </w:r>
    </w:p>
    <w:p>
      <w:pPr>
        <w:pStyle w:val="Heading3"/>
        <w:spacing w:before="200" w:after="100"/>
      </w:pPr>
      <w:r>
        <w:rPr>
          <w:rFonts w:ascii="Arial" w:cs="Arial" w:eastAsia="Arial" w:hAnsi="Arial"/>
          <w:b/>
          <w:bCs/>
          <w:color w:val="4B2FB8"/>
          <w:sz w:val="22"/>
          <w:szCs w:val="22"/>
        </w:rPr>
        <w:t xml:space="preserve">Agent 6 — Language Agent</w:t>
      </w:r>
    </w:p>
    <w:p>
      <w:pPr>
        <w:pStyle w:val="ListParagraph"/>
        <w:numPr>
          <w:ilvl w:val="0"/>
          <w:numId w:val="2"/>
        </w:numPr>
        <w:spacing w:before="60" w:after="60"/>
      </w:pPr>
      <w:r>
        <w:rPr>
          <w:rFonts w:ascii="Arial" w:cs="Arial" w:eastAsia="Arial" w:hAnsi="Arial"/>
          <w:color w:val="222222"/>
          <w:sz w:val="22"/>
          <w:szCs w:val="22"/>
        </w:rPr>
        <w:t xml:space="preserve">Receives output from every other agent and renders in active language mode</w:t>
      </w:r>
    </w:p>
    <w:p>
      <w:pPr>
        <w:pStyle w:val="ListParagraph"/>
        <w:numPr>
          <w:ilvl w:val="0"/>
          <w:numId w:val="2"/>
        </w:numPr>
        <w:spacing w:before="60" w:after="60"/>
      </w:pPr>
      <w:r>
        <w:rPr>
          <w:rFonts w:ascii="Arial" w:cs="Arial" w:eastAsia="Arial" w:hAnsi="Arial"/>
          <w:color w:val="222222"/>
          <w:sz w:val="22"/>
          <w:szCs w:val="22"/>
        </w:rPr>
        <w:t xml:space="preserve">Maintains the crypto-to-plain-English terminology dictionary</w:t>
      </w:r>
    </w:p>
    <w:p>
      <w:pPr>
        <w:pStyle w:val="ListParagraph"/>
        <w:numPr>
          <w:ilvl w:val="0"/>
          <w:numId w:val="2"/>
        </w:numPr>
        <w:spacing w:before="60" w:after="60"/>
      </w:pPr>
      <w:r>
        <w:rPr>
          <w:rFonts w:ascii="Arial" w:cs="Arial" w:eastAsia="Arial" w:hAnsi="Arial"/>
          <w:color w:val="222222"/>
          <w:sz w:val="22"/>
          <w:szCs w:val="22"/>
        </w:rPr>
        <w:t xml:space="preserve">Multilingual output planned for V2 — Arabic, Spanish, Tagalog, Dari priority languages</w:t>
      </w:r>
    </w:p>
    <w:p>
      <w:pPr>
        <w:pStyle w:val="ListParagraph"/>
        <w:numPr>
          <w:ilvl w:val="0"/>
          <w:numId w:val="2"/>
        </w:numPr>
        <w:spacing w:before="60" w:after="60"/>
      </w:pPr>
      <w:r>
        <w:rPr>
          <w:rFonts w:ascii="Arial" w:cs="Arial" w:eastAsia="Arial" w:hAnsi="Arial"/>
          <w:color w:val="222222"/>
          <w:sz w:val="22"/>
          <w:szCs w:val="22"/>
        </w:rPr>
        <w:t xml:space="preserve">The toggle is not a UI feature — it is this agent switching output mode</w:t>
      </w:r>
    </w:p>
    <w:p>
      <w:pPr>
        <w:spacing w:before="0" w:after="120"/>
      </w:pPr>
      <w:r>
        <w:t xml:space="preserve"/>
      </w:r>
    </w:p>
    <w:p>
      <w:pPr>
        <w:pStyle w:val="Heading2"/>
        <w:spacing w:before="300" w:after="160"/>
      </w:pPr>
      <w:r>
        <w:rPr>
          <w:rFonts w:ascii="Arial" w:cs="Arial" w:eastAsia="Arial" w:hAnsi="Arial"/>
          <w:b/>
          <w:bCs/>
          <w:color w:val="2D1A8A"/>
          <w:sz w:val="26"/>
          <w:szCs w:val="26"/>
        </w:rPr>
        <w:t xml:space="preserve">8. Additional Features Built Into V1</w:t>
      </w:r>
    </w:p>
    <w:p>
      <w:pPr>
        <w:pStyle w:val="ListParagraph"/>
        <w:numPr>
          <w:ilvl w:val="0"/>
          <w:numId w:val="2"/>
        </w:numPr>
        <w:spacing w:before="60" w:after="60"/>
      </w:pPr>
      <w:r>
        <w:rPr>
          <w:rFonts w:ascii="Arial" w:cs="Arial" w:eastAsia="Arial" w:hAnsi="Arial"/>
          <w:color w:val="222222"/>
          <w:sz w:val="22"/>
          <w:szCs w:val="22"/>
        </w:rPr>
        <w:t xml:space="preserve">Savings vaults — round-up and idle USDC deployed to yield, shown as interest rate in Everyday mode</w:t>
      </w:r>
    </w:p>
    <w:p>
      <w:pPr>
        <w:pStyle w:val="ListParagraph"/>
        <w:numPr>
          <w:ilvl w:val="0"/>
          <w:numId w:val="2"/>
        </w:numPr>
        <w:spacing w:before="60" w:after="60"/>
      </w:pPr>
      <w:r>
        <w:rPr>
          <w:rFonts w:ascii="Arial" w:cs="Arial" w:eastAsia="Arial" w:hAnsi="Arial"/>
          <w:color w:val="222222"/>
          <w:sz w:val="22"/>
          <w:szCs w:val="22"/>
        </w:rPr>
        <w:t xml:space="preserve">Spending insights — lightweight monthly breakdown of transaction categories</w:t>
      </w:r>
    </w:p>
    <w:p>
      <w:pPr>
        <w:pStyle w:val="ListParagraph"/>
        <w:numPr>
          <w:ilvl w:val="0"/>
          <w:numId w:val="2"/>
        </w:numPr>
        <w:spacing w:before="60" w:after="60"/>
      </w:pPr>
      <w:r>
        <w:rPr>
          <w:rFonts w:ascii="Arial" w:cs="Arial" w:eastAsia="Arial" w:hAnsi="Arial"/>
          <w:color w:val="222222"/>
          <w:sz w:val="22"/>
          <w:szCs w:val="22"/>
        </w:rPr>
        <w:t xml:space="preserve">Price alerts with portfolio context — not just 'SOL hit $150' but full position picture</w:t>
      </w:r>
    </w:p>
    <w:p>
      <w:pPr>
        <w:pStyle w:val="ListParagraph"/>
        <w:numPr>
          <w:ilvl w:val="0"/>
          <w:numId w:val="2"/>
        </w:numPr>
        <w:spacing w:before="60" w:after="60"/>
      </w:pPr>
      <w:r>
        <w:rPr>
          <w:rFonts w:ascii="Arial" w:cs="Arial" w:eastAsia="Arial" w:hAnsi="Arial"/>
          <w:color w:val="222222"/>
          <w:sz w:val="22"/>
          <w:szCs w:val="22"/>
        </w:rPr>
        <w:t xml:space="preserve">Transaction notes — every transaction noteable and fully text-searchable</w:t>
      </w:r>
    </w:p>
    <w:p>
      <w:pPr>
        <w:pStyle w:val="ListParagraph"/>
        <w:numPr>
          <w:ilvl w:val="0"/>
          <w:numId w:val="2"/>
        </w:numPr>
        <w:spacing w:before="60" w:after="60"/>
      </w:pPr>
      <w:r>
        <w:rPr>
          <w:rFonts w:ascii="Arial" w:cs="Arial" w:eastAsia="Arial" w:hAnsi="Arial"/>
          <w:color w:val="222222"/>
          <w:sz w:val="22"/>
          <w:szCs w:val="22"/>
        </w:rPr>
        <w:t xml:space="preserve">Saved counterparties with trade history and user notes</w:t>
      </w:r>
    </w:p>
    <w:p>
      <w:pPr>
        <w:pStyle w:val="ListParagraph"/>
        <w:numPr>
          <w:ilvl w:val="0"/>
          <w:numId w:val="2"/>
        </w:numPr>
        <w:spacing w:before="60" w:after="60"/>
      </w:pPr>
      <w:r>
        <w:rPr>
          <w:rFonts w:ascii="Arial" w:cs="Arial" w:eastAsia="Arial" w:hAnsi="Arial"/>
          <w:color w:val="222222"/>
          <w:sz w:val="22"/>
          <w:szCs w:val="22"/>
        </w:rPr>
        <w:t xml:space="preserve">Portfolio pattern recognition — behavioral analysis the user can actually act on</w:t>
      </w:r>
    </w:p>
    <w:p>
      <w:pPr>
        <w:spacing w:before="0" w:after="120"/>
      </w:pPr>
      <w:r>
        <w:t xml:space="preserve"/>
      </w:r>
    </w:p>
    <w:p>
      <w:pPr>
        <w:pStyle w:val="Heading1"/>
        <w:pBdr>
          <w:bottom w:val="single" w:color="1A3A6B" w:sz="8" w:space="4"/>
        </w:pBdr>
        <w:spacing w:before="400" w:after="200"/>
      </w:pPr>
      <w:r>
        <w:rPr>
          <w:rFonts w:ascii="Arial" w:cs="Arial" w:eastAsia="Arial" w:hAnsi="Arial"/>
          <w:b/>
          <w:bCs/>
          <w:color w:val="1B0F5E"/>
          <w:sz w:val="32"/>
          <w:szCs w:val="32"/>
        </w:rPr>
        <w:t xml:space="preserve">What We Are NOT Building — V1</w:t>
      </w:r>
    </w:p>
    <w:p>
      <w:pPr>
        <w:spacing w:before="0" w:after="12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200"/>
        <w:gridCol w:w="9160"/>
      </w:tblGrid>
      <w:tr>
        <w:tc>
          <w:tcPr>
            <w:tcW w:type="dxa" w:w="200"/>
            <w:tcBorders>
              <w:top w:val="none" w:color="FFFFFF" w:sz="0"/>
              <w:left w:val="none" w:color="FFFFFF" w:sz="0"/>
              <w:bottom w:val="none" w:color="FFFFFF" w:sz="0"/>
              <w:right w:val="none" w:color="FFFFFF" w:sz="0"/>
            </w:tcBorders>
            <w:shd w:fill="B8860B" w:val="clear"/>
            <w:tcMar>
              <w:top w:type="dxa" w:w="80"/>
              <w:left w:type="dxa" w:w="80"/>
              <w:bottom w:type="dxa" w:w="80"/>
              <w:right w:type="dxa" w:w="80"/>
            </w:tcMar>
          </w:tcPr>
          <w:p>
            <w:r>
              <w:rPr>
                <w:rFonts w:ascii="Arial" w:cs="Arial" w:eastAsia="Arial" w:hAnsi="Arial"/>
                <w:sz w:val="20"/>
                <w:szCs w:val="20"/>
              </w:rPr>
              <w:t xml:space="preserve"/>
            </w:r>
          </w:p>
        </w:tc>
        <w:tc>
          <w:tcPr>
            <w:tcW w:type="dxa" w:w="9160"/>
            <w:tcBorders>
              <w:top w:val="none" w:color="FFFFFF" w:sz="0"/>
              <w:left w:val="none" w:color="FFFFFF" w:sz="0"/>
              <w:bottom w:val="none" w:color="FFFFFF" w:sz="0"/>
              <w:right w:val="none" w:color="FFFFFF" w:sz="0"/>
            </w:tcBorders>
            <w:shd w:fill="F0EDFF" w:val="clear"/>
            <w:tcMar>
              <w:top w:type="dxa" w:w="100"/>
              <w:left w:type="dxa" w:w="200"/>
              <w:bottom w:type="dxa" w:w="100"/>
              <w:right w:type="dxa" w:w="120"/>
            </w:tcMar>
          </w:tcPr>
          <w:p>
            <w:r>
              <w:rPr>
                <w:rFonts w:ascii="Arial" w:cs="Arial" w:eastAsia="Arial" w:hAnsi="Arial"/>
                <w:b/>
                <w:bCs/>
                <w:color w:val="B8860B"/>
                <w:sz w:val="20"/>
                <w:szCs w:val="20"/>
              </w:rPr>
              <w:t xml:space="preserve">Design Principle</w:t>
            </w:r>
          </w:p>
          <w:p>
            <w:pPr>
              <w:spacing w:before="40"/>
            </w:pPr>
            <w:r>
              <w:rPr>
                <w:rFonts w:ascii="Arial" w:cs="Arial" w:eastAsia="Arial" w:hAnsi="Arial"/>
                <w:color w:val="333333"/>
                <w:sz w:val="20"/>
                <w:szCs w:val="20"/>
              </w:rPr>
              <w:t xml:space="preserve">If it is not in V1 scope, it is explicitly excluded. Shipping a focused, excellent V1 is more valuable than shipping an incomplete V2. Everything below is documented for future reference — not abandoned, deferred.</w:t>
            </w:r>
          </w:p>
        </w:tc>
      </w:tr>
    </w:tbl>
    <w:p>
      <w:pPr>
        <w:spacing w:before="0"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3880"/>
        <w:gridCol w:w="2280"/>
      </w:tblGrid>
      <w:tr>
        <w:trPr>
          <w:tblHeader/>
        </w:trPr>
        <w:tc>
          <w:tcPr>
            <w:tcW w:type="dxa" w:w="3200"/>
            <w:tcBorders>
              <w:top w:val="single" w:color="CCCCCC" w:sz="1"/>
              <w:left w:val="single" w:color="CCCCCC" w:sz="1"/>
              <w:bottom w:val="single" w:color="CCCCCC" w:sz="1"/>
              <w:right w:val="single" w:color="CCCCCC"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Feature</w:t>
            </w:r>
          </w:p>
        </w:tc>
        <w:tc>
          <w:tcPr>
            <w:tcW w:type="dxa" w:w="3880"/>
            <w:tcBorders>
              <w:top w:val="single" w:color="CCCCCC" w:sz="1"/>
              <w:left w:val="single" w:color="CCCCCC" w:sz="1"/>
              <w:bottom w:val="single" w:color="CCCCCC" w:sz="1"/>
              <w:right w:val="single" w:color="CCCCCC"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Why Deferred</w:t>
            </w:r>
          </w:p>
        </w:tc>
        <w:tc>
          <w:tcPr>
            <w:tcW w:type="dxa" w:w="2280"/>
            <w:tcBorders>
              <w:top w:val="single" w:color="CCCCCC" w:sz="1"/>
              <w:left w:val="single" w:color="CCCCCC" w:sz="1"/>
              <w:bottom w:val="single" w:color="CCCCCC" w:sz="1"/>
              <w:right w:val="single" w:color="CCCCCC"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Target Version</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Companion debit card (Marqeta/Visa)</w:t>
            </w:r>
          </w:p>
        </w:tc>
        <w:tc>
          <w:tcPr>
            <w:tcW w:type="dxa" w:w="38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Requires banking partner negotiation and compliance infrastructure</w:t>
            </w:r>
          </w:p>
        </w:tc>
        <w:tc>
          <w:tcPr>
            <w:tcW w:type="dxa" w:w="22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V2</w:t>
            </w:r>
          </w:p>
        </w:tc>
      </w:tr>
      <w:tr>
        <w:tc>
          <w:tcPr>
            <w:tcW w:type="dxa" w:w="32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EU banking integration (Modulr/Wise)</w:t>
            </w:r>
          </w:p>
        </w:tc>
        <w:tc>
          <w:tcPr>
            <w:tcW w:type="dxa" w:w="388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Regulatory setup across EU jurisdictions</w:t>
            </w:r>
          </w:p>
        </w:tc>
        <w:tc>
          <w:tcPr>
            <w:tcW w:type="dxa" w:w="228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V2</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Informed language mode (middle tier)</w:t>
            </w:r>
          </w:p>
        </w:tc>
        <w:tc>
          <w:tcPr>
            <w:tcW w:type="dxa" w:w="38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Everyday and Pro are sufficient for V1 differentiation</w:t>
            </w:r>
          </w:p>
        </w:tc>
        <w:tc>
          <w:tcPr>
            <w:tcW w:type="dxa" w:w="22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V2</w:t>
            </w:r>
          </w:p>
        </w:tc>
      </w:tr>
      <w:tr>
        <w:tc>
          <w:tcPr>
            <w:tcW w:type="dxa" w:w="32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Recurring / scheduled transactions</w:t>
            </w:r>
          </w:p>
        </w:tc>
        <w:tc>
          <w:tcPr>
            <w:tcW w:type="dxa" w:w="388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Requires additional agent logic and testing</w:t>
            </w:r>
          </w:p>
        </w:tc>
        <w:tc>
          <w:tcPr>
            <w:tcW w:type="dxa" w:w="228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V2</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Group wallets / shared accounts</w:t>
            </w:r>
          </w:p>
        </w:tc>
        <w:tc>
          <w:tcPr>
            <w:tcW w:type="dxa" w:w="38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Multi-sig UX complexity significant</w:t>
            </w:r>
          </w:p>
        </w:tc>
        <w:tc>
          <w:tcPr>
            <w:tcW w:type="dxa" w:w="22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V2</w:t>
            </w:r>
          </w:p>
        </w:tc>
      </w:tr>
      <w:tr>
        <w:tc>
          <w:tcPr>
            <w:tcW w:type="dxa" w:w="32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Full multilingual agent output</w:t>
            </w:r>
          </w:p>
        </w:tc>
        <w:tc>
          <w:tcPr>
            <w:tcW w:type="dxa" w:w="388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Language Agent built in English first</w:t>
            </w:r>
          </w:p>
        </w:tc>
        <w:tc>
          <w:tcPr>
            <w:tcW w:type="dxa" w:w="228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V2</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B2B API licensing</w:t>
            </w:r>
          </w:p>
        </w:tc>
        <w:tc>
          <w:tcPr>
            <w:tcW w:type="dxa" w:w="38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Agent layer must be proven in production first</w:t>
            </w:r>
          </w:p>
        </w:tc>
        <w:tc>
          <w:tcPr>
            <w:tcW w:type="dxa" w:w="22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V3</w:t>
            </w:r>
          </w:p>
        </w:tc>
      </w:tr>
      <w:tr>
        <w:tc>
          <w:tcPr>
            <w:tcW w:type="dxa" w:w="32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Referral commission products</w:t>
            </w:r>
          </w:p>
        </w:tc>
        <w:tc>
          <w:tcPr>
            <w:tcW w:type="dxa" w:w="388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Conflicts with simplicity of V1 revenue model</w:t>
            </w:r>
          </w:p>
        </w:tc>
        <w:tc>
          <w:tcPr>
            <w:tcW w:type="dxa" w:w="228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V3</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Data intelligence products</w:t>
            </w:r>
          </w:p>
        </w:tc>
        <w:tc>
          <w:tcPr>
            <w:tcW w:type="dxa" w:w="38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Requires volume and privacy legal structure</w:t>
            </w:r>
          </w:p>
        </w:tc>
        <w:tc>
          <w:tcPr>
            <w:tcW w:type="dxa" w:w="22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V3</w:t>
            </w:r>
          </w:p>
        </w:tc>
      </w:tr>
      <w:tr>
        <w:tc>
          <w:tcPr>
            <w:tcW w:type="dxa" w:w="32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NFC tap-to-pay</w:t>
            </w:r>
          </w:p>
        </w:tc>
        <w:tc>
          <w:tcPr>
            <w:tcW w:type="dxa" w:w="388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Dependent on companion card</w:t>
            </w:r>
          </w:p>
        </w:tc>
        <w:tc>
          <w:tcPr>
            <w:tcW w:type="dxa" w:w="228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V3</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Merchant payment infrastructure</w:t>
            </w:r>
          </w:p>
        </w:tc>
        <w:tc>
          <w:tcPr>
            <w:tcW w:type="dxa" w:w="38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Separate product track</w:t>
            </w:r>
          </w:p>
        </w:tc>
        <w:tc>
          <w:tcPr>
            <w:tcW w:type="dxa" w:w="22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V3</w:t>
            </w:r>
          </w:p>
        </w:tc>
      </w:tr>
      <w:tr>
        <w:tc>
          <w:tcPr>
            <w:tcW w:type="dxa" w:w="32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UNHCR / refugee market build</w:t>
            </w:r>
          </w:p>
        </w:tc>
        <w:tc>
          <w:tcPr>
            <w:tcW w:type="dxa" w:w="388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Requires political infrastructure and partnerships</w:t>
            </w:r>
          </w:p>
        </w:tc>
        <w:tc>
          <w:tcPr>
            <w:tcW w:type="dxa" w:w="228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Future</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Social recovery (seed phrase replacement) — confirmed V2 customer service priority</w:t>
            </w:r>
          </w:p>
        </w:tc>
        <w:tc>
          <w:tcPr>
            <w:tcW w:type="dxa" w:w="38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Critical long term but complex for V1</w:t>
            </w:r>
          </w:p>
        </w:tc>
        <w:tc>
          <w:tcPr>
            <w:tcW w:type="dxa" w:w="22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V2</w:t>
            </w:r>
          </w:p>
        </w:tc>
      </w:tr>
      <w:tr>
        <w:tc>
          <w:tcPr>
            <w:tcW w:type="dxa" w:w="32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Unbanked market features</w:t>
            </w:r>
          </w:p>
        </w:tc>
        <w:tc>
          <w:tcPr>
            <w:tcW w:type="dxa" w:w="388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Offline-first architecture, low-data optimization</w:t>
            </w:r>
          </w:p>
        </w:tc>
        <w:tc>
          <w:tcPr>
            <w:tcW w:type="dxa" w:w="228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Future</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Cross-border remittance corridors</w:t>
            </w:r>
          </w:p>
        </w:tc>
        <w:tc>
          <w:tcPr>
            <w:tcW w:type="dxa" w:w="38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Regulatory per-corridor work required</w:t>
            </w:r>
          </w:p>
        </w:tc>
        <w:tc>
          <w:tcPr>
            <w:tcW w:type="dxa" w:w="22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Future</w:t>
            </w:r>
          </w:p>
        </w:tc>
      </w:tr>
      <w:tr>
        <w:tc>
          <w:tcPr>
            <w:tcW w:type="dxa" w:w="32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Paid features of any kind</w:t>
            </w:r>
          </w:p>
        </w:tc>
        <w:tc>
          <w:tcPr>
            <w:tcW w:type="dxa" w:w="388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Against founding principle — will not be built</w:t>
            </w:r>
          </w:p>
        </w:tc>
        <w:tc>
          <w:tcPr>
            <w:tcW w:type="dxa" w:w="228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Never</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Advertising or data sale</w:t>
            </w:r>
          </w:p>
        </w:tc>
        <w:tc>
          <w:tcPr>
            <w:tcW w:type="dxa" w:w="38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Against founding principle — will not be built</w:t>
            </w:r>
          </w:p>
        </w:tc>
        <w:tc>
          <w:tcPr>
            <w:tcW w:type="dxa" w:w="22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Never</w:t>
            </w:r>
          </w:p>
        </w:tc>
      </w:tr>
      <w:tr>
        <w:tc>
          <w:tcPr>
            <w:tcW w:type="dxa" w:w="32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Premium tiers or locked features</w:t>
            </w:r>
          </w:p>
        </w:tc>
        <w:tc>
          <w:tcPr>
            <w:tcW w:type="dxa" w:w="388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Against founding principle — will not be built</w:t>
            </w:r>
          </w:p>
        </w:tc>
        <w:tc>
          <w:tcPr>
            <w:tcW w:type="dxa" w:w="228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Never</w:t>
            </w:r>
          </w:p>
        </w:tc>
      </w:tr>
    </w:tbl>
    <w:p>
      <w:pPr>
        <w:spacing w:before="0" w:after="120"/>
      </w:pPr>
      <w:r>
        <w:t xml:space="preserve"/>
      </w:r>
    </w:p>
    <w:p>
      <w:pPr>
        <w:pStyle w:val="Heading1"/>
        <w:pBdr>
          <w:bottom w:val="single" w:color="1A3A6B" w:sz="8" w:space="4"/>
        </w:pBdr>
        <w:spacing w:before="400" w:after="200"/>
      </w:pPr>
      <w:r>
        <w:rPr>
          <w:rFonts w:ascii="Arial" w:cs="Arial" w:eastAsia="Arial" w:hAnsi="Arial"/>
          <w:b/>
          <w:bCs/>
          <w:color w:val="1B0F5E"/>
          <w:sz w:val="32"/>
          <w:szCs w:val="32"/>
        </w:rPr>
        <w:t xml:space="preserve">Business Model</w:t>
      </w:r>
    </w:p>
    <w:p>
      <w:pPr>
        <w:spacing w:before="0" w:after="12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200"/>
        <w:gridCol w:w="9160"/>
      </w:tblGrid>
      <w:tr>
        <w:tc>
          <w:tcPr>
            <w:tcW w:type="dxa" w:w="200"/>
            <w:tcBorders>
              <w:top w:val="none" w:color="FFFFFF" w:sz="0"/>
              <w:left w:val="none" w:color="FFFFFF" w:sz="0"/>
              <w:bottom w:val="none" w:color="FFFFFF" w:sz="0"/>
              <w:right w:val="none" w:color="FFFFFF" w:sz="0"/>
            </w:tcBorders>
            <w:shd w:fill="4B2FB8" w:val="clear"/>
            <w:tcMar>
              <w:top w:type="dxa" w:w="80"/>
              <w:left w:type="dxa" w:w="80"/>
              <w:bottom w:type="dxa" w:w="80"/>
              <w:right w:type="dxa" w:w="80"/>
            </w:tcMar>
          </w:tcPr>
          <w:p>
            <w:r>
              <w:rPr>
                <w:rFonts w:ascii="Arial" w:cs="Arial" w:eastAsia="Arial" w:hAnsi="Arial"/>
                <w:sz w:val="20"/>
                <w:szCs w:val="20"/>
              </w:rPr>
              <w:t xml:space="preserve"/>
            </w:r>
          </w:p>
        </w:tc>
        <w:tc>
          <w:tcPr>
            <w:tcW w:type="dxa" w:w="9160"/>
            <w:tcBorders>
              <w:top w:val="none" w:color="FFFFFF" w:sz="0"/>
              <w:left w:val="none" w:color="FFFFFF" w:sz="0"/>
              <w:bottom w:val="none" w:color="FFFFFF" w:sz="0"/>
              <w:right w:val="none" w:color="FFFFFF" w:sz="0"/>
            </w:tcBorders>
            <w:shd w:fill="F0EDFF" w:val="clear"/>
            <w:tcMar>
              <w:top w:type="dxa" w:w="100"/>
              <w:left w:type="dxa" w:w="200"/>
              <w:bottom w:type="dxa" w:w="100"/>
              <w:right w:type="dxa" w:w="120"/>
            </w:tcMar>
          </w:tcPr>
          <w:p>
            <w:r>
              <w:rPr>
                <w:rFonts w:ascii="Arial" w:cs="Arial" w:eastAsia="Arial" w:hAnsi="Arial"/>
                <w:b/>
                <w:bCs/>
                <w:color w:val="6B4FD8"/>
                <w:sz w:val="20"/>
                <w:szCs w:val="20"/>
              </w:rPr>
              <w:t xml:space="preserve">The Only Revenue Stream</w:t>
            </w:r>
          </w:p>
          <w:p>
            <w:pPr>
              <w:spacing w:before="40"/>
            </w:pPr>
            <w:r>
              <w:rPr>
                <w:rFonts w:ascii="Arial" w:cs="Arial" w:eastAsia="Arial" w:hAnsi="Arial"/>
                <w:color w:val="333333"/>
                <w:sz w:val="20"/>
                <w:szCs w:val="20"/>
              </w:rPr>
              <w:t xml:space="preserve">The spread on trades. We source liquidity from Jupiter (Solana) and Uniswap/1inch/Paraswap (EVM), charge a marginally wider spread than raw market price, and keep the difference. Disclosed in one line. Always lower than every competitor. That is the entire business model.</w:t>
            </w:r>
          </w:p>
        </w:tc>
      </w:tr>
    </w:tbl>
    <w:p>
      <w:pPr>
        <w:spacing w:before="0" w:after="120"/>
      </w:pPr>
      <w:r>
        <w:t xml:space="preserve"/>
      </w:r>
    </w:p>
    <w:p>
      <w:pPr>
        <w:pStyle w:val="Heading2"/>
        <w:spacing w:before="300" w:after="160"/>
      </w:pPr>
      <w:r>
        <w:rPr>
          <w:rFonts w:ascii="Arial" w:cs="Arial" w:eastAsia="Arial" w:hAnsi="Arial"/>
          <w:b/>
          <w:bCs/>
          <w:color w:val="2D1A8A"/>
          <w:sz w:val="26"/>
          <w:szCs w:val="26"/>
        </w:rPr>
        <w:t xml:space="preserve">How the Spread Works</w:t>
      </w:r>
    </w:p>
    <w:p>
      <w:pPr>
        <w:pStyle w:val="ListParagraph"/>
        <w:numPr>
          <w:ilvl w:val="0"/>
          <w:numId w:val="2"/>
        </w:numPr>
        <w:spacing w:before="60" w:after="60"/>
      </w:pPr>
      <w:r>
        <w:rPr>
          <w:rFonts w:ascii="Arial" w:cs="Arial" w:eastAsia="Arial" w:hAnsi="Arial"/>
          <w:color w:val="222222"/>
          <w:sz w:val="22"/>
          <w:szCs w:val="22"/>
        </w:rPr>
        <w:t xml:space="preserve">Raw market price of SOL: $150.00</w:t>
      </w:r>
    </w:p>
    <w:p>
      <w:pPr>
        <w:pStyle w:val="ListParagraph"/>
        <w:numPr>
          <w:ilvl w:val="0"/>
          <w:numId w:val="2"/>
        </w:numPr>
        <w:spacing w:before="60" w:after="60"/>
      </w:pPr>
      <w:r>
        <w:rPr>
          <w:rFonts w:ascii="Arial" w:cs="Arial" w:eastAsia="Arial" w:hAnsi="Arial"/>
          <w:color w:val="222222"/>
          <w:sz w:val="22"/>
          <w:szCs w:val="22"/>
        </w:rPr>
        <w:t xml:space="preserve">Our buy price shown to user: $150.75 (0.5% markup)</w:t>
      </w:r>
    </w:p>
    <w:p>
      <w:pPr>
        <w:pStyle w:val="ListParagraph"/>
        <w:numPr>
          <w:ilvl w:val="0"/>
          <w:numId w:val="2"/>
        </w:numPr>
        <w:spacing w:before="60" w:after="60"/>
      </w:pPr>
      <w:r>
        <w:rPr>
          <w:rFonts w:ascii="Arial" w:cs="Arial" w:eastAsia="Arial" w:hAnsi="Arial"/>
          <w:color w:val="222222"/>
          <w:sz w:val="22"/>
          <w:szCs w:val="22"/>
        </w:rPr>
        <w:t xml:space="preserve">Our sell price shown to user: $149.25 (0.5% markup)</w:t>
      </w:r>
    </w:p>
    <w:p>
      <w:pPr>
        <w:pStyle w:val="ListParagraph"/>
        <w:numPr>
          <w:ilvl w:val="0"/>
          <w:numId w:val="2"/>
        </w:numPr>
        <w:spacing w:before="60" w:after="60"/>
      </w:pPr>
      <w:r>
        <w:rPr>
          <w:rFonts w:ascii="Arial" w:cs="Arial" w:eastAsia="Arial" w:hAnsi="Arial"/>
          <w:color w:val="222222"/>
          <w:sz w:val="22"/>
          <w:szCs w:val="22"/>
        </w:rPr>
        <w:t xml:space="preserve">Disclosure: 'Exchange rate includes a small markup — always lower than competitors'</w:t>
      </w:r>
    </w:p>
    <w:p>
      <w:pPr>
        <w:pStyle w:val="ListParagraph"/>
        <w:numPr>
          <w:ilvl w:val="0"/>
          <w:numId w:val="2"/>
        </w:numPr>
        <w:spacing w:before="60" w:after="60"/>
      </w:pPr>
      <w:r>
        <w:rPr>
          <w:rFonts w:ascii="Arial" w:cs="Arial" w:eastAsia="Arial" w:hAnsi="Arial"/>
          <w:color w:val="222222"/>
          <w:sz w:val="22"/>
          <w:szCs w:val="22"/>
        </w:rPr>
        <w:t xml:space="preserve">This is the standard model used by Coinbase, Cash App, Revolut, and PayPal</w:t>
      </w:r>
    </w:p>
    <w:p>
      <w:pPr>
        <w:spacing w:before="0" w:after="120"/>
      </w:pPr>
      <w:r>
        <w:t xml:space="preserve"/>
      </w:r>
    </w:p>
    <w:p>
      <w:pPr>
        <w:pStyle w:val="Heading2"/>
        <w:spacing w:before="300" w:after="160"/>
      </w:pPr>
      <w:r>
        <w:rPr>
          <w:rFonts w:ascii="Arial" w:cs="Arial" w:eastAsia="Arial" w:hAnsi="Arial"/>
          <w:b/>
          <w:bCs/>
          <w:color w:val="2D1A8A"/>
          <w:sz w:val="26"/>
          <w:szCs w:val="26"/>
        </w:rPr>
        <w:t xml:space="preserve">Competitive Spread Comparison</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00"/>
        <w:gridCol w:w="2040"/>
        <w:gridCol w:w="2040"/>
        <w:gridCol w:w="2880"/>
      </w:tblGrid>
      <w:tr>
        <w:trPr>
          <w:tblHeader/>
        </w:trPr>
        <w:tc>
          <w:tcPr>
            <w:tcW w:type="dxa" w:w="2400"/>
            <w:tcBorders>
              <w:top w:val="single" w:color="CCCCCC" w:sz="1"/>
              <w:left w:val="single" w:color="CCCCCC" w:sz="1"/>
              <w:bottom w:val="single" w:color="CCCCCC" w:sz="1"/>
              <w:right w:val="single" w:color="CCCCCC"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Platform</w:t>
            </w:r>
          </w:p>
        </w:tc>
        <w:tc>
          <w:tcPr>
            <w:tcW w:type="dxa" w:w="2040"/>
            <w:tcBorders>
              <w:top w:val="single" w:color="CCCCCC" w:sz="1"/>
              <w:left w:val="single" w:color="CCCCCC" w:sz="1"/>
              <w:bottom w:val="single" w:color="CCCCCC" w:sz="1"/>
              <w:right w:val="single" w:color="CCCCCC"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Spread / Fee</w:t>
            </w:r>
          </w:p>
        </w:tc>
        <w:tc>
          <w:tcPr>
            <w:tcW w:type="dxa" w:w="2040"/>
            <w:tcBorders>
              <w:top w:val="single" w:color="CCCCCC" w:sz="1"/>
              <w:left w:val="single" w:color="CCCCCC" w:sz="1"/>
              <w:bottom w:val="single" w:color="CCCCCC" w:sz="1"/>
              <w:right w:val="single" w:color="CCCCCC"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Gas to User</w:t>
            </w:r>
          </w:p>
        </w:tc>
        <w:tc>
          <w:tcPr>
            <w:tcW w:type="dxa" w:w="2880"/>
            <w:tcBorders>
              <w:top w:val="single" w:color="CCCCCC" w:sz="1"/>
              <w:left w:val="single" w:color="CCCCCC" w:sz="1"/>
              <w:bottom w:val="single" w:color="CCCCCC" w:sz="1"/>
              <w:right w:val="single" w:color="CCCCCC"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Transparency</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Coinbase</w:t>
            </w:r>
          </w:p>
        </w:tc>
        <w:tc>
          <w:tcPr>
            <w:tcW w:type="dxa" w:w="2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Up to 2.5%</w:t>
            </w:r>
          </w:p>
        </w:tc>
        <w:tc>
          <w:tcPr>
            <w:tcW w:type="dxa" w:w="2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Yes</w:t>
            </w:r>
          </w:p>
        </w:tc>
        <w:tc>
          <w:tcPr>
            <w:tcW w:type="dxa" w:w="28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Partial</w:t>
            </w:r>
          </w:p>
        </w:tc>
      </w:tr>
      <w:tr>
        <w:tc>
          <w:tcPr>
            <w:tcW w:type="dxa" w:w="24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Cash App</w:t>
            </w:r>
          </w:p>
        </w:tc>
        <w:tc>
          <w:tcPr>
            <w:tcW w:type="dxa" w:w="2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1.75%</w:t>
            </w:r>
          </w:p>
        </w:tc>
        <w:tc>
          <w:tcPr>
            <w:tcW w:type="dxa" w:w="2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N/A</w:t>
            </w:r>
          </w:p>
        </w:tc>
        <w:tc>
          <w:tcPr>
            <w:tcW w:type="dxa" w:w="288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Partial</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PayPal Crypto</w:t>
            </w:r>
          </w:p>
        </w:tc>
        <w:tc>
          <w:tcPr>
            <w:tcW w:type="dxa" w:w="2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Up to 3.49%</w:t>
            </w:r>
          </w:p>
        </w:tc>
        <w:tc>
          <w:tcPr>
            <w:tcW w:type="dxa" w:w="2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N/A</w:t>
            </w:r>
          </w:p>
        </w:tc>
        <w:tc>
          <w:tcPr>
            <w:tcW w:type="dxa" w:w="28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Poor</w:t>
            </w:r>
          </w:p>
        </w:tc>
      </w:tr>
      <w:tr>
        <w:tc>
          <w:tcPr>
            <w:tcW w:type="dxa" w:w="24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Phantom</w:t>
            </w:r>
          </w:p>
        </w:tc>
        <w:tc>
          <w:tcPr>
            <w:tcW w:type="dxa" w:w="2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0.85% + DEX fees</w:t>
            </w:r>
          </w:p>
        </w:tc>
        <w:tc>
          <w:tcPr>
            <w:tcW w:type="dxa" w:w="2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Yes</w:t>
            </w:r>
          </w:p>
        </w:tc>
        <w:tc>
          <w:tcPr>
            <w:tcW w:type="dxa" w:w="288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Poor</w:t>
            </w:r>
          </w:p>
        </w:tc>
      </w:tr>
      <w:tr>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loveconcursall</w:t>
            </w:r>
          </w:p>
        </w:tc>
        <w:tc>
          <w:tcPr>
            <w:tcW w:type="dxa" w:w="2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&lt; 0.75% (target)</w:t>
            </w:r>
          </w:p>
        </w:tc>
        <w:tc>
          <w:tcPr>
            <w:tcW w:type="dxa" w:w="2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Never</w:t>
            </w:r>
          </w:p>
        </w:tc>
        <w:tc>
          <w:tcPr>
            <w:tcW w:type="dxa" w:w="28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Full</w:t>
            </w:r>
          </w:p>
        </w:tc>
      </w:tr>
    </w:tbl>
    <w:p>
      <w:pPr>
        <w:spacing w:before="0" w:after="120"/>
      </w:pPr>
      <w:r>
        <w:t xml:space="preserve"/>
      </w:r>
    </w:p>
    <w:p>
      <w:pPr>
        <w:pStyle w:val="Heading2"/>
        <w:spacing w:before="300" w:after="160"/>
      </w:pPr>
      <w:r>
        <w:rPr>
          <w:rFonts w:ascii="Arial" w:cs="Arial" w:eastAsia="Arial" w:hAnsi="Arial"/>
          <w:b/>
          <w:bCs/>
          <w:color w:val="2D1A8A"/>
          <w:sz w:val="26"/>
          <w:szCs w:val="26"/>
        </w:rPr>
        <w:t xml:space="preserve">Revenue Projections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120"/>
        <w:gridCol w:w="3120"/>
        <w:gridCol w:w="3120"/>
      </w:tblGrid>
      <w:tr>
        <w:trPr>
          <w:tblHeader/>
        </w:trPr>
        <w:tc>
          <w:tcPr>
            <w:tcW w:type="dxa" w:w="3120"/>
            <w:tcBorders>
              <w:top w:val="single" w:color="CCCCCC" w:sz="1"/>
              <w:left w:val="single" w:color="CCCCCC" w:sz="1"/>
              <w:bottom w:val="single" w:color="CCCCCC" w:sz="1"/>
              <w:right w:val="single" w:color="CCCCCC"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Monthly Trading Volume</w:t>
            </w:r>
          </w:p>
        </w:tc>
        <w:tc>
          <w:tcPr>
            <w:tcW w:type="dxa" w:w="3120"/>
            <w:tcBorders>
              <w:top w:val="single" w:color="CCCCCC" w:sz="1"/>
              <w:left w:val="single" w:color="CCCCCC" w:sz="1"/>
              <w:bottom w:val="single" w:color="CCCCCC" w:sz="1"/>
              <w:right w:val="single" w:color="CCCCCC"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At 0.75% Spread</w:t>
            </w:r>
          </w:p>
        </w:tc>
        <w:tc>
          <w:tcPr>
            <w:tcW w:type="dxa" w:w="3120"/>
            <w:tcBorders>
              <w:top w:val="single" w:color="CCCCCC" w:sz="1"/>
              <w:left w:val="single" w:color="CCCCCC" w:sz="1"/>
              <w:bottom w:val="single" w:color="CCCCCC" w:sz="1"/>
              <w:right w:val="single" w:color="CCCCCC"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Annual Revenue</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$1M</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$7,500</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$90,000</w:t>
            </w:r>
          </w:p>
        </w:tc>
      </w:tr>
      <w:tr>
        <w:tc>
          <w:tcPr>
            <w:tcW w:type="dxa" w:w="312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$10M</w:t>
            </w:r>
          </w:p>
        </w:tc>
        <w:tc>
          <w:tcPr>
            <w:tcW w:type="dxa" w:w="312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$75,000</w:t>
            </w:r>
          </w:p>
        </w:tc>
        <w:tc>
          <w:tcPr>
            <w:tcW w:type="dxa" w:w="312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$900,000</w:t>
            </w:r>
          </w:p>
        </w:tc>
      </w:tr>
      <w:tr>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$50M</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$375,000</w:t>
            </w:r>
          </w:p>
        </w:tc>
        <w:tc>
          <w:tcPr>
            <w:tcW w:type="dxa" w:w="312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$4,500,000</w:t>
            </w:r>
          </w:p>
        </w:tc>
      </w:tr>
      <w:tr>
        <w:tc>
          <w:tcPr>
            <w:tcW w:type="dxa" w:w="312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$100M</w:t>
            </w:r>
          </w:p>
        </w:tc>
        <w:tc>
          <w:tcPr>
            <w:tcW w:type="dxa" w:w="312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$750,000</w:t>
            </w:r>
          </w:p>
        </w:tc>
        <w:tc>
          <w:tcPr>
            <w:tcW w:type="dxa" w:w="312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$9,000,000</w:t>
            </w:r>
          </w:p>
        </w:tc>
      </w:tr>
    </w:tbl>
    <w:p>
      <w:pPr>
        <w:spacing w:before="0" w:after="120"/>
      </w:pPr>
      <w:r>
        <w:t xml:space="preserve"/>
      </w:r>
    </w:p>
    <w:p>
      <w:pPr>
        <w:spacing w:before="80" w:after="80"/>
      </w:pPr>
      <w:r>
        <w:rPr>
          <w:rFonts w:ascii="Arial" w:cs="Arial" w:eastAsia="Arial" w:hAnsi="Arial"/>
          <w:color w:val="222222"/>
          <w:sz w:val="22"/>
          <w:szCs w:val="22"/>
        </w:rPr>
        <w:t xml:space="preserve">Gas cost absorbed: Solana at 1M transactions costs approximately $50. EVM Layer 2 at 1M transactions costs approximately $5,000-$10,000. Both are covered by spread revenue at any meaningful volume.</w:t>
      </w:r>
    </w:p>
    <w:p>
      <w:pPr>
        <w:spacing w:before="0" w:after="120"/>
      </w:pPr>
      <w:r>
        <w:t xml:space="preserve"/>
      </w:r>
    </w:p>
    <w:p>
      <w:pPr>
        <w:pStyle w:val="Heading2"/>
        <w:spacing w:before="300" w:after="160"/>
      </w:pPr>
      <w:r>
        <w:rPr>
          <w:rFonts w:ascii="Arial" w:cs="Arial" w:eastAsia="Arial" w:hAnsi="Arial"/>
          <w:b/>
          <w:bCs/>
          <w:color w:val="2D1A8A"/>
          <w:sz w:val="26"/>
          <w:szCs w:val="26"/>
        </w:rPr>
        <w:t xml:space="preserve">What We Explicitly Will Not Do</w:t>
      </w:r>
    </w:p>
    <w:p>
      <w:pPr>
        <w:pStyle w:val="ListParagraph"/>
        <w:numPr>
          <w:ilvl w:val="0"/>
          <w:numId w:val="2"/>
        </w:numPr>
        <w:spacing w:before="60" w:after="60"/>
      </w:pPr>
      <w:r>
        <w:rPr>
          <w:rFonts w:ascii="Arial" w:cs="Arial" w:eastAsia="Arial" w:hAnsi="Arial"/>
          <w:color w:val="222222"/>
          <w:sz w:val="22"/>
          <w:szCs w:val="22"/>
        </w:rPr>
        <w:t xml:space="preserve">Charge for any feature — ever</w:t>
      </w:r>
    </w:p>
    <w:p>
      <w:pPr>
        <w:pStyle w:val="ListParagraph"/>
        <w:numPr>
          <w:ilvl w:val="0"/>
          <w:numId w:val="2"/>
        </w:numPr>
        <w:spacing w:before="60" w:after="60"/>
      </w:pPr>
      <w:r>
        <w:rPr>
          <w:rFonts w:ascii="Arial" w:cs="Arial" w:eastAsia="Arial" w:hAnsi="Arial"/>
          <w:color w:val="222222"/>
          <w:sz w:val="22"/>
          <w:szCs w:val="22"/>
        </w:rPr>
        <w:t xml:space="preserve">Create paid tiers or premium walls</w:t>
      </w:r>
    </w:p>
    <w:p>
      <w:pPr>
        <w:pStyle w:val="ListParagraph"/>
        <w:numPr>
          <w:ilvl w:val="0"/>
          <w:numId w:val="2"/>
        </w:numPr>
        <w:spacing w:before="60" w:after="60"/>
      </w:pPr>
      <w:r>
        <w:rPr>
          <w:rFonts w:ascii="Arial" w:cs="Arial" w:eastAsia="Arial" w:hAnsi="Arial"/>
          <w:color w:val="222222"/>
          <w:sz w:val="22"/>
          <w:szCs w:val="22"/>
        </w:rPr>
        <w:t xml:space="preserve">Sell user data</w:t>
      </w:r>
    </w:p>
    <w:p>
      <w:pPr>
        <w:pStyle w:val="ListParagraph"/>
        <w:numPr>
          <w:ilvl w:val="0"/>
          <w:numId w:val="2"/>
        </w:numPr>
        <w:spacing w:before="60" w:after="60"/>
      </w:pPr>
      <w:r>
        <w:rPr>
          <w:rFonts w:ascii="Arial" w:cs="Arial" w:eastAsia="Arial" w:hAnsi="Arial"/>
          <w:color w:val="222222"/>
          <w:sz w:val="22"/>
          <w:szCs w:val="22"/>
        </w:rPr>
        <w:t xml:space="preserve">Run advertising</w:t>
      </w:r>
    </w:p>
    <w:p>
      <w:pPr>
        <w:pStyle w:val="ListParagraph"/>
        <w:numPr>
          <w:ilvl w:val="0"/>
          <w:numId w:val="2"/>
        </w:numPr>
        <w:spacing w:before="60" w:after="60"/>
      </w:pPr>
      <w:r>
        <w:rPr>
          <w:rFonts w:ascii="Arial" w:cs="Arial" w:eastAsia="Arial" w:hAnsi="Arial"/>
          <w:color w:val="222222"/>
          <w:sz w:val="22"/>
          <w:szCs w:val="22"/>
        </w:rPr>
        <w:t xml:space="preserve">Charge withdrawal or deposit fees</w:t>
      </w:r>
    </w:p>
    <w:p>
      <w:pPr>
        <w:pStyle w:val="ListParagraph"/>
        <w:numPr>
          <w:ilvl w:val="0"/>
          <w:numId w:val="2"/>
        </w:numPr>
        <w:spacing w:before="60" w:after="60"/>
      </w:pPr>
      <w:r>
        <w:rPr>
          <w:rFonts w:ascii="Arial" w:cs="Arial" w:eastAsia="Arial" w:hAnsi="Arial"/>
          <w:color w:val="222222"/>
          <w:sz w:val="22"/>
          <w:szCs w:val="22"/>
        </w:rPr>
        <w:t xml:space="preserve">Charge inactivity fees</w:t>
      </w:r>
    </w:p>
    <w:p>
      <w:pPr>
        <w:pStyle w:val="ListParagraph"/>
        <w:numPr>
          <w:ilvl w:val="0"/>
          <w:numId w:val="2"/>
        </w:numPr>
        <w:spacing w:before="60" w:after="60"/>
      </w:pPr>
      <w:r>
        <w:rPr>
          <w:rFonts w:ascii="Arial" w:cs="Arial" w:eastAsia="Arial" w:hAnsi="Arial"/>
          <w:color w:val="222222"/>
          <w:sz w:val="22"/>
          <w:szCs w:val="22"/>
        </w:rPr>
        <w:t xml:space="preserve">Hide fees in any form</w:t>
      </w:r>
    </w:p>
    <w:p>
      <w:pPr>
        <w:spacing w:before="0" w:after="120"/>
      </w:pPr>
      <w:r>
        <w:t xml:space="preserve"/>
      </w:r>
    </w:p>
    <w:p>
      <w:pPr>
        <w:pStyle w:val="Heading1"/>
        <w:pBdr>
          <w:bottom w:val="single" w:color="1A3A6B" w:sz="8" w:space="4"/>
        </w:pBdr>
        <w:spacing w:before="400" w:after="200"/>
      </w:pPr>
      <w:r>
        <w:rPr>
          <w:rFonts w:ascii="Arial" w:cs="Arial" w:eastAsia="Arial" w:hAnsi="Arial"/>
          <w:b/>
          <w:bCs/>
          <w:color w:val="1B0F5E"/>
          <w:sz w:val="32"/>
          <w:szCs w:val="32"/>
        </w:rPr>
        <w:t xml:space="preserve">Technical Architecture — Key Decisions</w:t>
      </w:r>
    </w:p>
    <w:p>
      <w:pPr>
        <w:pStyle w:val="Heading2"/>
        <w:spacing w:before="300" w:after="160"/>
      </w:pPr>
      <w:r>
        <w:rPr>
          <w:rFonts w:ascii="Arial" w:cs="Arial" w:eastAsia="Arial" w:hAnsi="Arial"/>
          <w:b/>
          <w:bCs/>
          <w:color w:val="2D1A8A"/>
          <w:sz w:val="26"/>
          <w:szCs w:val="26"/>
        </w:rPr>
        <w:t xml:space="preserve">Blockchain Infrastructure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480"/>
        <w:gridCol w:w="3440"/>
        <w:gridCol w:w="3440"/>
      </w:tblGrid>
      <w:tr>
        <w:trPr>
          <w:tblHeader/>
        </w:trPr>
        <w:tc>
          <w:tcPr>
            <w:tcW w:type="dxa" w:w="2480"/>
            <w:tcBorders>
              <w:top w:val="single" w:color="CCCCCC" w:sz="1"/>
              <w:left w:val="single" w:color="CCCCCC" w:sz="1"/>
              <w:bottom w:val="single" w:color="CCCCCC" w:sz="1"/>
              <w:right w:val="single" w:color="CCCCCC"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Layer</w:t>
            </w:r>
          </w:p>
        </w:tc>
        <w:tc>
          <w:tcPr>
            <w:tcW w:type="dxa" w:w="3440"/>
            <w:tcBorders>
              <w:top w:val="single" w:color="CCCCCC" w:sz="1"/>
              <w:left w:val="single" w:color="CCCCCC" w:sz="1"/>
              <w:bottom w:val="single" w:color="CCCCCC" w:sz="1"/>
              <w:right w:val="single" w:color="CCCCCC"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Solana</w:t>
            </w:r>
          </w:p>
        </w:tc>
        <w:tc>
          <w:tcPr>
            <w:tcW w:type="dxa" w:w="3440"/>
            <w:tcBorders>
              <w:top w:val="single" w:color="CCCCCC" w:sz="1"/>
              <w:left w:val="single" w:color="CCCCCC" w:sz="1"/>
              <w:bottom w:val="single" w:color="CCCCCC" w:sz="1"/>
              <w:right w:val="single" w:color="CCCCCC"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EVM</w:t>
            </w:r>
          </w:p>
        </w:tc>
      </w:tr>
      <w:tr>
        <w:tc>
          <w:tcPr>
            <w:tcW w:type="dxa" w:w="24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RPC / Data</w:t>
            </w:r>
          </w:p>
        </w:tc>
        <w:tc>
          <w:tcPr>
            <w:tcW w:type="dxa" w:w="3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Helius or Triton (webhook-driven)</w:t>
            </w:r>
          </w:p>
        </w:tc>
        <w:tc>
          <w:tcPr>
            <w:tcW w:type="dxa" w:w="3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Alchemy or Infura</w:t>
            </w:r>
          </w:p>
        </w:tc>
      </w:tr>
      <w:tr>
        <w:tc>
          <w:tcPr>
            <w:tcW w:type="dxa" w:w="248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DEX / Liquidity</w:t>
            </w:r>
          </w:p>
        </w:tc>
        <w:tc>
          <w:tcPr>
            <w:tcW w:type="dxa" w:w="34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Jupiter Aggregator</w:t>
            </w:r>
          </w:p>
        </w:tc>
        <w:tc>
          <w:tcPr>
            <w:tcW w:type="dxa" w:w="34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Uniswap / 1inch / Paraswap</w:t>
            </w:r>
          </w:p>
        </w:tc>
      </w:tr>
      <w:tr>
        <w:tc>
          <w:tcPr>
            <w:tcW w:type="dxa" w:w="24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Smart Contracts</w:t>
            </w:r>
          </w:p>
        </w:tc>
        <w:tc>
          <w:tcPr>
            <w:tcW w:type="dxa" w:w="3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Anchor Framework</w:t>
            </w:r>
          </w:p>
        </w:tc>
        <w:tc>
          <w:tcPr>
            <w:tcW w:type="dxa" w:w="3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ethers.js or viem</w:t>
            </w:r>
          </w:p>
        </w:tc>
      </w:tr>
      <w:tr>
        <w:tc>
          <w:tcPr>
            <w:tcW w:type="dxa" w:w="248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Gas Sponsorship</w:t>
            </w:r>
          </w:p>
        </w:tc>
        <w:tc>
          <w:tcPr>
            <w:tcW w:type="dxa" w:w="34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Native (fees trivial)</w:t>
            </w:r>
          </w:p>
        </w:tc>
        <w:tc>
          <w:tcPr>
            <w:tcW w:type="dxa" w:w="34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ERC-4337 Paymaster</w:t>
            </w:r>
          </w:p>
        </w:tc>
      </w:tr>
      <w:tr>
        <w:tc>
          <w:tcPr>
            <w:tcW w:type="dxa" w:w="248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Layer 2</w:t>
            </w:r>
          </w:p>
        </w:tc>
        <w:tc>
          <w:tcPr>
            <w:tcW w:type="dxa" w:w="3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N/A (Solana native)</w:t>
            </w:r>
          </w:p>
        </w:tc>
        <w:tc>
          <w:tcPr>
            <w:tcW w:type="dxa" w:w="34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Arbitrum / Base / Optimism</w:t>
            </w:r>
          </w:p>
        </w:tc>
      </w:tr>
      <w:tr>
        <w:tc>
          <w:tcPr>
            <w:tcW w:type="dxa" w:w="248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Stablecoin</w:t>
            </w:r>
          </w:p>
        </w:tc>
        <w:tc>
          <w:tcPr>
            <w:tcW w:type="dxa" w:w="34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USDC (primary asset)</w:t>
            </w:r>
          </w:p>
        </w:tc>
        <w:tc>
          <w:tcPr>
            <w:tcW w:type="dxa" w:w="34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USDC (primary asset)</w:t>
            </w:r>
          </w:p>
        </w:tc>
      </w:tr>
    </w:tbl>
    <w:p>
      <w:pPr>
        <w:spacing w:before="0" w:after="120"/>
      </w:pPr>
      <w:r>
        <w:t xml:space="preserve"/>
      </w:r>
    </w:p>
    <w:p>
      <w:pPr>
        <w:pStyle w:val="Heading2"/>
        <w:spacing w:before="300" w:after="160"/>
      </w:pPr>
      <w:r>
        <w:rPr>
          <w:rFonts w:ascii="Arial" w:cs="Arial" w:eastAsia="Arial" w:hAnsi="Arial"/>
          <w:b/>
          <w:bCs/>
          <w:color w:val="2D1A8A"/>
          <w:sz w:val="26"/>
          <w:szCs w:val="26"/>
        </w:rPr>
        <w:t xml:space="preserve">Agent Coordination Stack</w:t>
      </w:r>
    </w:p>
    <w:p>
      <w:pPr>
        <w:pStyle w:val="ListParagraph"/>
        <w:numPr>
          <w:ilvl w:val="0"/>
          <w:numId w:val="2"/>
        </w:numPr>
        <w:spacing w:before="60" w:after="60"/>
      </w:pPr>
      <w:r>
        <w:rPr>
          <w:rFonts w:ascii="Arial" w:cs="Arial" w:eastAsia="Arial" w:hAnsi="Arial"/>
          <w:color w:val="222222"/>
          <w:sz w:val="22"/>
          <w:szCs w:val="22"/>
        </w:rPr>
        <w:t xml:space="preserve">Orchestration framework: LangGraph or CrewAI — state management across agent pipeline</w:t>
      </w:r>
    </w:p>
    <w:p>
      <w:pPr>
        <w:pStyle w:val="ListParagraph"/>
        <w:numPr>
          <w:ilvl w:val="0"/>
          <w:numId w:val="2"/>
        </w:numPr>
        <w:spacing w:before="60" w:after="60"/>
      </w:pPr>
      <w:r>
        <w:rPr>
          <w:rFonts w:ascii="Arial" w:cs="Arial" w:eastAsia="Arial" w:hAnsi="Arial"/>
          <w:color w:val="222222"/>
          <w:sz w:val="22"/>
          <w:szCs w:val="22"/>
        </w:rPr>
        <w:t xml:space="preserve">Short-term memory: in-context state per transaction session</w:t>
      </w:r>
    </w:p>
    <w:p>
      <w:pPr>
        <w:pStyle w:val="ListParagraph"/>
        <w:numPr>
          <w:ilvl w:val="0"/>
          <w:numId w:val="2"/>
        </w:numPr>
        <w:spacing w:before="60" w:after="60"/>
      </w:pPr>
      <w:r>
        <w:rPr>
          <w:rFonts w:ascii="Arial" w:cs="Arial" w:eastAsia="Arial" w:hAnsi="Arial"/>
          <w:color w:val="222222"/>
          <w:sz w:val="22"/>
          <w:szCs w:val="22"/>
        </w:rPr>
        <w:t xml:space="preserve">Long-term memory: vector database (Pinecone or Weaviate) — user behavior, risk profile, contacts</w:t>
      </w:r>
    </w:p>
    <w:p>
      <w:pPr>
        <w:pStyle w:val="ListParagraph"/>
        <w:numPr>
          <w:ilvl w:val="0"/>
          <w:numId w:val="2"/>
        </w:numPr>
        <w:spacing w:before="60" w:after="60"/>
      </w:pPr>
      <w:r>
        <w:rPr>
          <w:rFonts w:ascii="Arial" w:cs="Arial" w:eastAsia="Arial" w:hAnsi="Arial"/>
          <w:color w:val="222222"/>
          <w:sz w:val="22"/>
          <w:szCs w:val="22"/>
        </w:rPr>
        <w:t xml:space="preserve">Agent pipeline: supervisor architecture — orchestrator delegates to specialists, aggregates before user delivery</w:t>
      </w:r>
    </w:p>
    <w:p>
      <w:pPr>
        <w:pStyle w:val="ListParagraph"/>
        <w:numPr>
          <w:ilvl w:val="0"/>
          <w:numId w:val="2"/>
        </w:numPr>
        <w:spacing w:before="60" w:after="60"/>
      </w:pPr>
      <w:r>
        <w:rPr>
          <w:rFonts w:ascii="Arial" w:cs="Arial" w:eastAsia="Arial" w:hAnsi="Arial"/>
          <w:color w:val="222222"/>
          <w:sz w:val="22"/>
          <w:szCs w:val="22"/>
        </w:rPr>
        <w:t xml:space="preserve">Signing rule: agents NEVER sign. Cryptographic signing is always a human-initiated action</w:t>
      </w:r>
    </w:p>
    <w:p>
      <w:pPr>
        <w:spacing w:before="0" w:after="120"/>
      </w:pPr>
      <w:r>
        <w:t xml:space="preserve"/>
      </w:r>
    </w:p>
    <w:p>
      <w:pPr>
        <w:pStyle w:val="Heading2"/>
        <w:spacing w:before="300" w:after="160"/>
      </w:pPr>
      <w:r>
        <w:rPr>
          <w:rFonts w:ascii="Arial" w:cs="Arial" w:eastAsia="Arial" w:hAnsi="Arial"/>
          <w:b/>
          <w:bCs/>
          <w:color w:val="2D1A8A"/>
          <w:sz w:val="26"/>
          <w:szCs w:val="26"/>
        </w:rPr>
        <w:t xml:space="preserve">Security Architecture</w:t>
      </w:r>
    </w:p>
    <w:p>
      <w:pPr>
        <w:pStyle w:val="ListParagraph"/>
        <w:numPr>
          <w:ilvl w:val="0"/>
          <w:numId w:val="2"/>
        </w:numPr>
        <w:spacing w:before="60" w:after="60"/>
      </w:pPr>
      <w:r>
        <w:rPr>
          <w:rFonts w:ascii="Arial" w:cs="Arial" w:eastAsia="Arial" w:hAnsi="Arial"/>
          <w:color w:val="222222"/>
          <w:sz w:val="22"/>
          <w:szCs w:val="22"/>
        </w:rPr>
        <w:t xml:space="preserve">Simulation Agent: every EVM transaction simulated via Tenderly before signing</w:t>
      </w:r>
    </w:p>
    <w:p>
      <w:pPr>
        <w:pStyle w:val="ListParagraph"/>
        <w:numPr>
          <w:ilvl w:val="0"/>
          <w:numId w:val="2"/>
        </w:numPr>
        <w:spacing w:before="60" w:after="60"/>
      </w:pPr>
      <w:r>
        <w:rPr>
          <w:rFonts w:ascii="Arial" w:cs="Arial" w:eastAsia="Arial" w:hAnsi="Arial"/>
          <w:color w:val="222222"/>
          <w:sz w:val="22"/>
          <w:szCs w:val="22"/>
        </w:rPr>
        <w:t xml:space="preserve">Contract Risk Agent: audit history via Forta / GoPlus / De.Fi APIs on every interaction</w:t>
      </w:r>
    </w:p>
    <w:p>
      <w:pPr>
        <w:pStyle w:val="ListParagraph"/>
        <w:numPr>
          <w:ilvl w:val="0"/>
          <w:numId w:val="2"/>
        </w:numPr>
        <w:spacing w:before="60" w:after="60"/>
      </w:pPr>
      <w:r>
        <w:rPr>
          <w:rFonts w:ascii="Arial" w:cs="Arial" w:eastAsia="Arial" w:hAnsi="Arial"/>
          <w:color w:val="222222"/>
          <w:sz w:val="22"/>
          <w:szCs w:val="22"/>
        </w:rPr>
        <w:t xml:space="preserve">Counterparty Intelligence: Chainalysis / TRM Labs API for sanctions and scam flagging</w:t>
      </w:r>
    </w:p>
    <w:p>
      <w:pPr>
        <w:pStyle w:val="ListParagraph"/>
        <w:numPr>
          <w:ilvl w:val="0"/>
          <w:numId w:val="2"/>
        </w:numPr>
        <w:spacing w:before="60" w:after="60"/>
      </w:pPr>
      <w:r>
        <w:rPr>
          <w:rFonts w:ascii="Arial" w:cs="Arial" w:eastAsia="Arial" w:hAnsi="Arial"/>
          <w:color w:val="222222"/>
          <w:sz w:val="22"/>
          <w:szCs w:val="22"/>
        </w:rPr>
        <w:t xml:space="preserve">Honeypot detection: honeypot.is API integration — catches tokens engineered to trap buyers</w:t>
      </w:r>
    </w:p>
    <w:p>
      <w:pPr>
        <w:pStyle w:val="ListParagraph"/>
        <w:numPr>
          <w:ilvl w:val="0"/>
          <w:numId w:val="2"/>
        </w:numPr>
        <w:spacing w:before="60" w:after="60"/>
      </w:pPr>
      <w:r>
        <w:rPr>
          <w:rFonts w:ascii="Arial" w:cs="Arial" w:eastAsia="Arial" w:hAnsi="Arial"/>
          <w:color w:val="222222"/>
          <w:sz w:val="22"/>
          <w:szCs w:val="22"/>
        </w:rPr>
        <w:t xml:space="preserve">Anomaly Detection: learns user's normal transaction patterns, flags significant deviations</w:t>
      </w:r>
    </w:p>
    <w:p>
      <w:pPr>
        <w:spacing w:before="0" w:after="120"/>
      </w:pPr>
      <w:r>
        <w:t xml:space="preserve"/>
      </w:r>
    </w:p>
    <w:p>
      <w:pPr>
        <w:pStyle w:val="Heading2"/>
        <w:spacing w:before="300" w:after="160"/>
      </w:pPr>
      <w:r>
        <w:rPr>
          <w:rFonts w:ascii="Arial" w:cs="Arial" w:eastAsia="Arial" w:hAnsi="Arial"/>
          <w:b/>
          <w:bCs/>
          <w:color w:val="2D1A8A"/>
          <w:sz w:val="26"/>
          <w:szCs w:val="26"/>
        </w:rPr>
        <w:t xml:space="preserve">On-Chain Contacts Architecture</w:t>
      </w:r>
    </w:p>
    <w:p>
      <w:pPr>
        <w:pStyle w:val="ListParagraph"/>
        <w:numPr>
          <w:ilvl w:val="0"/>
          <w:numId w:val="2"/>
        </w:numPr>
        <w:spacing w:before="60" w:after="60"/>
      </w:pPr>
      <w:r>
        <w:rPr>
          <w:rFonts w:ascii="Arial" w:cs="Arial" w:eastAsia="Arial" w:hAnsi="Arial"/>
          <w:color w:val="222222"/>
          <w:sz w:val="22"/>
          <w:szCs w:val="22"/>
        </w:rPr>
        <w:t xml:space="preserve">Contacts layer lives on-chain — not in any centralized database</w:t>
      </w:r>
    </w:p>
    <w:p>
      <w:pPr>
        <w:pStyle w:val="ListParagraph"/>
        <w:numPr>
          <w:ilvl w:val="0"/>
          <w:numId w:val="2"/>
        </w:numPr>
        <w:spacing w:before="60" w:after="60"/>
      </w:pPr>
      <w:r>
        <w:rPr>
          <w:rFonts w:ascii="Arial" w:cs="Arial" w:eastAsia="Arial" w:hAnsi="Arial"/>
          <w:color w:val="222222"/>
          <w:sz w:val="22"/>
          <w:szCs w:val="22"/>
        </w:rPr>
        <w:t xml:space="preserve">Discoverable by wallet address, ENS name, Solana domain (.sol)</w:t>
      </w:r>
    </w:p>
    <w:p>
      <w:pPr>
        <w:pStyle w:val="ListParagraph"/>
        <w:numPr>
          <w:ilvl w:val="0"/>
          <w:numId w:val="2"/>
        </w:numPr>
        <w:spacing w:before="60" w:after="60"/>
      </w:pPr>
      <w:r>
        <w:rPr>
          <w:rFonts w:ascii="Arial" w:cs="Arial" w:eastAsia="Arial" w:hAnsi="Arial"/>
          <w:color w:val="222222"/>
          <w:sz w:val="22"/>
          <w:szCs w:val="22"/>
        </w:rPr>
        <w:t xml:space="preserve">Contact trust signals and trade history recorded on-chain</w:t>
      </w:r>
    </w:p>
    <w:p>
      <w:pPr>
        <w:pStyle w:val="ListParagraph"/>
        <w:numPr>
          <w:ilvl w:val="0"/>
          <w:numId w:val="2"/>
        </w:numPr>
        <w:spacing w:before="60" w:after="60"/>
      </w:pPr>
      <w:r>
        <w:rPr>
          <w:rFonts w:ascii="Arial" w:cs="Arial" w:eastAsia="Arial" w:hAnsi="Arial"/>
          <w:color w:val="222222"/>
          <w:sz w:val="22"/>
          <w:szCs w:val="22"/>
        </w:rPr>
        <w:t xml:space="preserve">User's social graph is fully portable — follows them if they ever switch apps</w:t>
      </w:r>
    </w:p>
    <w:p>
      <w:pPr>
        <w:pStyle w:val="ListParagraph"/>
        <w:numPr>
          <w:ilvl w:val="0"/>
          <w:numId w:val="2"/>
        </w:numPr>
        <w:spacing w:before="60" w:after="60"/>
      </w:pPr>
      <w:r>
        <w:rPr>
          <w:rFonts w:ascii="Arial" w:cs="Arial" w:eastAsia="Arial" w:hAnsi="Arial"/>
          <w:color w:val="222222"/>
          <w:sz w:val="22"/>
          <w:szCs w:val="22"/>
        </w:rPr>
        <w:t xml:space="preserve">P2P discovery without requiring phone number exchange</w:t>
      </w:r>
    </w:p>
    <w:p>
      <w:pPr>
        <w:spacing w:before="0" w:after="120"/>
      </w:pPr>
      <w:r>
        <w:t xml:space="preserve"/>
      </w:r>
    </w:p>
    <w:p>
      <w:pPr>
        <w:pStyle w:val="Heading1"/>
        <w:pBdr>
          <w:bottom w:val="single" w:color="1A3A6B" w:sz="8" w:space="4"/>
        </w:pBdr>
        <w:spacing w:before="400" w:after="200"/>
      </w:pPr>
      <w:r>
        <w:rPr>
          <w:rFonts w:ascii="Arial" w:cs="Arial" w:eastAsia="Arial" w:hAnsi="Arial"/>
          <w:b/>
          <w:bCs/>
          <w:color w:val="1B0F5E"/>
          <w:sz w:val="32"/>
          <w:szCs w:val="32"/>
        </w:rPr>
        <w:t xml:space="preserve">Competitive Differentiation</w:t>
      </w:r>
    </w:p>
    <w:p>
      <w:pPr>
        <w:spacing w:before="0"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200"/>
        <w:gridCol w:w="1040"/>
        <w:gridCol w:w="1040"/>
        <w:gridCol w:w="1040"/>
        <w:gridCol w:w="1040"/>
        <w:gridCol w:w="2000"/>
      </w:tblGrid>
      <w:tr>
        <w:trPr>
          <w:tblHeader/>
        </w:trPr>
        <w:tc>
          <w:tcPr>
            <w:tcW w:type="dxa" w:w="3200"/>
            <w:tcBorders>
              <w:top w:val="single" w:color="CCCCCC" w:sz="1"/>
              <w:left w:val="single" w:color="CCCCCC" w:sz="1"/>
              <w:bottom w:val="single" w:color="CCCCCC" w:sz="1"/>
              <w:right w:val="single" w:color="CCCCCC"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Feature</w:t>
            </w:r>
          </w:p>
        </w:tc>
        <w:tc>
          <w:tcPr>
            <w:tcW w:type="dxa" w:w="1040"/>
            <w:tcBorders>
              <w:top w:val="single" w:color="CCCCCC" w:sz="1"/>
              <w:left w:val="single" w:color="CCCCCC" w:sz="1"/>
              <w:bottom w:val="single" w:color="CCCCCC" w:sz="1"/>
              <w:right w:val="single" w:color="CCCCCC"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PayPal</w:t>
            </w:r>
          </w:p>
        </w:tc>
        <w:tc>
          <w:tcPr>
            <w:tcW w:type="dxa" w:w="1040"/>
            <w:tcBorders>
              <w:top w:val="single" w:color="CCCCCC" w:sz="1"/>
              <w:left w:val="single" w:color="CCCCCC" w:sz="1"/>
              <w:bottom w:val="single" w:color="CCCCCC" w:sz="1"/>
              <w:right w:val="single" w:color="CCCCCC"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Coinbase</w:t>
            </w:r>
          </w:p>
        </w:tc>
        <w:tc>
          <w:tcPr>
            <w:tcW w:type="dxa" w:w="1040"/>
            <w:tcBorders>
              <w:top w:val="single" w:color="CCCCCC" w:sz="1"/>
              <w:left w:val="single" w:color="CCCCCC" w:sz="1"/>
              <w:bottom w:val="single" w:color="CCCCCC" w:sz="1"/>
              <w:right w:val="single" w:color="CCCCCC"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Phantom</w:t>
            </w:r>
          </w:p>
        </w:tc>
        <w:tc>
          <w:tcPr>
            <w:tcW w:type="dxa" w:w="1040"/>
            <w:tcBorders>
              <w:top w:val="single" w:color="CCCCCC" w:sz="1"/>
              <w:left w:val="single" w:color="CCCCCC" w:sz="1"/>
              <w:bottom w:val="single" w:color="CCCCCC" w:sz="1"/>
              <w:right w:val="single" w:color="CCCCCC"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Metamask</w:t>
            </w:r>
          </w:p>
        </w:tc>
        <w:tc>
          <w:tcPr>
            <w:tcW w:type="dxa" w:w="2000"/>
            <w:tcBorders>
              <w:top w:val="single" w:color="CCCCCC" w:sz="1"/>
              <w:left w:val="single" w:color="CCCCCC" w:sz="1"/>
              <w:bottom w:val="single" w:color="CCCCCC" w:sz="1"/>
              <w:right w:val="single" w:color="CCCCCC"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loveconcursall</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Plain language / Everyday mode</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Yes</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Yes</w:t>
            </w:r>
          </w:p>
        </w:tc>
      </w:tr>
      <w:tr>
        <w:tc>
          <w:tcPr>
            <w:tcW w:type="dxa" w:w="32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Language toggle (3 modes)</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20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Yes</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Solana + EVM unified</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Partial</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Solana only</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EVM only</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Yes</w:t>
            </w:r>
          </w:p>
        </w:tc>
      </w:tr>
      <w:tr>
        <w:tc>
          <w:tcPr>
            <w:tcW w:type="dxa" w:w="32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Bank link (ACH)</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Yes</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Yes</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20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Yes</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P2P crypto trading</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Yes</w:t>
            </w:r>
          </w:p>
        </w:tc>
      </w:tr>
      <w:tr>
        <w:tc>
          <w:tcPr>
            <w:tcW w:type="dxa" w:w="32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Pre-trade AI safety</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20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Yes</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No gas fees to user</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N/A</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Yes</w:t>
            </w:r>
          </w:p>
        </w:tc>
      </w:tr>
      <w:tr>
        <w:tc>
          <w:tcPr>
            <w:tcW w:type="dxa" w:w="32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On-chain public contacts</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20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Yes</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Counterparty reputation</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Yes</w:t>
            </w:r>
          </w:p>
        </w:tc>
      </w:tr>
      <w:tr>
        <w:tc>
          <w:tcPr>
            <w:tcW w:type="dxa" w:w="32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Portfolio pattern recognition</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20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Yes</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Cross-border near-zero fee</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Yes</w:t>
            </w:r>
          </w:p>
        </w:tc>
      </w:tr>
      <w:tr>
        <w:tc>
          <w:tcPr>
            <w:tcW w:type="dxa" w:w="32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Savings vault with yield</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20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Yes</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Paid tiers or locked features</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Yes</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Yes</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Never</w:t>
            </w:r>
          </w:p>
        </w:tc>
      </w:tr>
      <w:tr>
        <w:tc>
          <w:tcPr>
            <w:tcW w:type="dxa" w:w="32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User data sold</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Partial</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Partial</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20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Never</w:t>
            </w:r>
          </w:p>
        </w:tc>
      </w:tr>
      <w:tr>
        <w:tc>
          <w:tcPr>
            <w:tcW w:type="dxa" w:w="3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Full fee transparency</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104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No</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Yes</w:t>
            </w:r>
          </w:p>
        </w:tc>
      </w:tr>
    </w:tbl>
    <w:p>
      <w:pPr>
        <w:spacing w:before="0" w:after="120"/>
      </w:pPr>
      <w:r>
        <w:t xml:space="preserve"/>
      </w:r>
    </w:p>
    <w:p>
      <w:pPr>
        <w:pStyle w:val="Heading1"/>
        <w:pBdr>
          <w:bottom w:val="single" w:color="1A3A6B" w:sz="8" w:space="4"/>
        </w:pBdr>
        <w:spacing w:before="400" w:after="200"/>
      </w:pPr>
      <w:r>
        <w:rPr>
          <w:rFonts w:ascii="Arial" w:cs="Arial" w:eastAsia="Arial" w:hAnsi="Arial"/>
          <w:b/>
          <w:bCs/>
          <w:color w:val="1B0F5E"/>
          <w:sz w:val="32"/>
          <w:szCs w:val="32"/>
        </w:rPr>
        <w:t xml:space="preserve">Future Vision — Pinned for Later</w:t>
      </w:r>
    </w:p>
    <w:p>
      <w:pPr>
        <w:pStyle w:val="Heading2"/>
        <w:spacing w:before="300" w:after="160"/>
      </w:pPr>
      <w:r>
        <w:rPr>
          <w:rFonts w:ascii="Arial" w:cs="Arial" w:eastAsia="Arial" w:hAnsi="Arial"/>
          <w:b/>
          <w:bCs/>
          <w:color w:val="2D1A8A"/>
          <w:sz w:val="26"/>
          <w:szCs w:val="26"/>
        </w:rPr>
        <w:t xml:space="preserve">The Humanitarian Layer</w:t>
      </w:r>
    </w:p>
    <w:p>
      <w:pPr>
        <w:spacing w:before="80" w:after="80"/>
      </w:pPr>
      <w:r>
        <w:rPr>
          <w:rFonts w:ascii="Arial" w:cs="Arial" w:eastAsia="Arial" w:hAnsi="Arial"/>
          <w:color w:val="222222"/>
          <w:sz w:val="22"/>
          <w:szCs w:val="22"/>
        </w:rPr>
        <w:t xml:space="preserve">The founder has direct experience with the UNHCR. A future version of this wallet is designed from the ground up for refugees, the unbanked, and populations in conflict zones — with offline-first architecture, low-data optimization, multilingual agent output, tiered KYC accessible with UNHCR documentation, and remittance corridor optimization for the world's most important money flows. This requires political infrastructure and partnerships that are not V1 scope but are a founding intention of the product.</w:t>
      </w:r>
    </w:p>
    <w:p>
      <w:pPr>
        <w:spacing w:before="0" w:after="120"/>
      </w:pPr>
      <w:r>
        <w:t xml:space="preserve"/>
      </w:r>
    </w:p>
    <w:p>
      <w:pPr>
        <w:pStyle w:val="Heading2"/>
        <w:spacing w:before="300" w:after="160"/>
      </w:pPr>
      <w:r>
        <w:rPr>
          <w:rFonts w:ascii="Arial" w:cs="Arial" w:eastAsia="Arial" w:hAnsi="Arial"/>
          <w:b/>
          <w:bCs/>
          <w:color w:val="2D1A8A"/>
          <w:sz w:val="26"/>
          <w:szCs w:val="26"/>
        </w:rPr>
        <w:t xml:space="preserve">The Infrastructure Play</w:t>
      </w:r>
    </w:p>
    <w:p>
      <w:pPr>
        <w:spacing w:before="80" w:after="80"/>
      </w:pPr>
      <w:r>
        <w:rPr>
          <w:rFonts w:ascii="Arial" w:cs="Arial" w:eastAsia="Arial" w:hAnsi="Arial"/>
          <w:color w:val="222222"/>
          <w:sz w:val="22"/>
          <w:szCs w:val="22"/>
        </w:rPr>
        <w:t xml:space="preserve">Once the agent coordination layer is proven in production, individual agents have standalone licensing value: the Trade Safety API, Counterparty Intelligence API, and Language Agent API can be licensed to other wallets, exchanges, and DeFi protocols. This is how Plaid, Chainalysis, and TRM Labs built category-defining businesses — internal infrastructure first, industry utility second.</w:t>
      </w:r>
    </w:p>
    <w:p>
      <w:pPr>
        <w:spacing w:before="0" w:after="120"/>
      </w:pPr>
      <w:r>
        <w:t xml:space="preserve"/>
      </w:r>
    </w:p>
    <w:p>
      <w:pPr>
        <w:pStyle w:val="Heading2"/>
        <w:spacing w:before="300" w:after="160"/>
      </w:pPr>
      <w:r>
        <w:rPr>
          <w:rFonts w:ascii="Arial" w:cs="Arial" w:eastAsia="Arial" w:hAnsi="Arial"/>
          <w:b/>
          <w:bCs/>
          <w:color w:val="2D1A8A"/>
          <w:sz w:val="26"/>
          <w:szCs w:val="26"/>
        </w:rPr>
        <w:t xml:space="preserve">The Companion Card</w:t>
      </w:r>
    </w:p>
    <w:p>
      <w:pPr>
        <w:spacing w:before="80" w:after="80"/>
      </w:pPr>
      <w:r>
        <w:rPr>
          <w:rFonts w:ascii="Arial" w:cs="Arial" w:eastAsia="Arial" w:hAnsi="Arial"/>
          <w:color w:val="222222"/>
          <w:sz w:val="22"/>
          <w:szCs w:val="22"/>
        </w:rPr>
        <w:t xml:space="preserve">A physical and virtual Visa debit card via Marqeta — making the wallet spendable at every merchant on earth without any crypto knowledge required. The card is the bridge between crypto infrastructure and the existing payments universe.</w:t>
      </w:r>
    </w:p>
    <w:p>
      <w:pPr>
        <w:spacing w:before="0" w:after="120"/>
      </w:pPr>
      <w:r>
        <w:t xml:space="preserve"/>
      </w:r>
    </w:p>
    <w:p>
      <w:pPr>
        <w:pStyle w:val="Heading1"/>
        <w:pBdr>
          <w:bottom w:val="single" w:color="2D1A8A" w:sz="8" w:space="4"/>
        </w:pBdr>
        <w:spacing w:before="400" w:after="200"/>
      </w:pPr>
      <w:r>
        <w:rPr>
          <w:rFonts w:ascii="Arial" w:cs="Arial" w:eastAsia="Arial" w:hAnsi="Arial"/>
          <w:b/>
          <w:bCs/>
          <w:color w:val="1B0F5E"/>
          <w:sz w:val="32"/>
          <w:szCs w:val="32"/>
        </w:rPr>
        <w:t xml:space="preserve">V2 — Customer Service Architecture</w:t>
      </w:r>
    </w:p>
    <w:p>
      <w:pPr>
        <w:spacing w:before="80" w:after="80"/>
      </w:pPr>
      <w:r>
        <w:rPr>
          <w:rFonts w:ascii="Arial" w:cs="Arial" w:eastAsia="Arial" w:hAnsi="Arial"/>
          <w:color w:val="222222"/>
          <w:sz w:val="22"/>
          <w:szCs w:val="22"/>
        </w:rPr>
        <w:t xml:space="preserve">Customer service is one of the most underappreciated reasons crypto has failed to achieve mainstream adoption. If something goes wrong with a bank account, a user calls a number. A human helps. There is recourse. In crypto today there is nothing. Velcro cannot reverse on-chain transactions — that is technically impossible and we will never pretend otherwise. But Velcro can provide what no current wallet does: honest, structured, human-centred support before and after problems occur.</w:t>
      </w:r>
    </w:p>
    <w:p>
      <w:pPr>
        <w:pStyle w:val="Heading2"/>
        <w:spacing w:before="280" w:after="120"/>
      </w:pPr>
      <w:r>
        <w:rPr>
          <w:rFonts w:ascii="Arial" w:cs="Arial" w:eastAsia="Arial" w:hAnsi="Arial"/>
          <w:b/>
          <w:bCs/>
          <w:color w:val="4B2FB8"/>
          <w:sz w:val="26"/>
          <w:szCs w:val="26"/>
        </w:rPr>
        <w:t xml:space="preserve">Tier 1 — Prevention as Service (built into V1 agent stack)</w:t>
      </w:r>
    </w:p>
    <w:p>
      <w:pPr>
        <w:spacing w:before="80" w:after="80"/>
      </w:pPr>
      <w:r>
        <w:rPr>
          <w:rFonts w:ascii="Arial" w:cs="Arial" w:eastAsia="Arial" w:hAnsi="Arial"/>
          <w:color w:val="222222"/>
          <w:sz w:val="22"/>
          <w:szCs w:val="22"/>
        </w:rPr>
        <w:t xml:space="preserve">The Trade Safety Agent, Counterparty Intelligence Agent, and pre-transaction simulation exist specifically to stop the problem before it happens. Most “I lost my crypto” stories have a moment where a better-informed user would have stopped. The V1 agent stack is customer service that happens before the disaster, not after. This is the first and most important tier.</w:t>
      </w:r>
    </w:p>
    <w:p>
      <w:pPr>
        <w:pStyle w:val="Heading2"/>
        <w:spacing w:before="280" w:after="120"/>
      </w:pPr>
      <w:r>
        <w:rPr>
          <w:rFonts w:ascii="Arial" w:cs="Arial" w:eastAsia="Arial" w:hAnsi="Arial"/>
          <w:b/>
          <w:bCs/>
          <w:color w:val="4B2FB8"/>
          <w:sz w:val="26"/>
          <w:szCs w:val="26"/>
        </w:rPr>
        <w:t xml:space="preserve">Tier 2 — Conversational AI Support (V2)</w:t>
      </w:r>
    </w:p>
    <w:p>
      <w:pPr>
        <w:spacing w:before="80" w:after="80"/>
      </w:pPr>
      <w:r>
        <w:rPr>
          <w:rFonts w:ascii="Arial" w:cs="Arial" w:eastAsia="Arial" w:hAnsi="Arial"/>
          <w:color w:val="222222"/>
          <w:sz w:val="22"/>
          <w:szCs w:val="22"/>
        </w:rPr>
        <w:t xml:space="preserve">The conversational AI layer (already pinned as a V2 feature) is the primary customer service delivery mechanism. A user types “I think I just got scammed” and the system immediately: pauses any pending transactions, runs a full account review, identifies what happened, explains it clearly in the user’s active language mode, initiates relevant on-chain reports, flags the counterparty address across the network, and connects to human support if needed. No false hope. No silence. An honest explanation and a clear path forward — even when that path is “there is no recovery.”</w:t>
      </w:r>
    </w:p>
    <w:p>
      <w:pPr>
        <w:spacing w:before="80" w:after="80"/>
      </w:pPr>
      <w:r>
        <w:rPr>
          <w:rFonts w:ascii="Arial" w:cs="Arial" w:eastAsia="Arial" w:hAnsi="Arial"/>
          <w:color w:val="222222"/>
          <w:sz w:val="22"/>
          <w:szCs w:val="22"/>
        </w:rPr>
        <w:t xml:space="preserve">Specific automated recovery actions the conversational AI layer triggers: wrong address on EVM — check if it went to a contract with governance mechanisms; phishing — auto-report to Chainalysis and TRM Labs, flag address network-wide; suspected rug pull — alert community, document on-chain evidence. All initiated in seconds by the user saying what happened in plain language.</w:t>
      </w:r>
    </w:p>
    <w:p>
      <w:pPr>
        <w:pStyle w:val="Heading2"/>
        <w:spacing w:before="280" w:after="120"/>
      </w:pPr>
      <w:r>
        <w:rPr>
          <w:rFonts w:ascii="Arial" w:cs="Arial" w:eastAsia="Arial" w:hAnsi="Arial"/>
          <w:b/>
          <w:bCs/>
          <w:color w:val="4B2FB8"/>
          <w:sz w:val="26"/>
          <w:szCs w:val="26"/>
        </w:rPr>
        <w:t xml:space="preserve">Tier 3 — Human Support (V2)</w:t>
      </w:r>
    </w:p>
    <w:p>
      <w:pPr>
        <w:spacing w:before="80" w:after="80"/>
      </w:pPr>
      <w:r>
        <w:rPr>
          <w:rFonts w:ascii="Arial" w:cs="Arial" w:eastAsia="Arial" w:hAnsi="Arial"/>
          <w:color w:val="222222"/>
          <w:sz w:val="22"/>
          <w:szCs w:val="22"/>
        </w:rPr>
        <w:t xml:space="preserve">A real human support tier — not to reverse transactions, but to help users understand what happened, file reports, navigate recovery options, and feel heard. The wallet that answers when something goes wrong is the wallet people trust. This is a genuine competitive moat. No current wallet offers it. Funded through spread revenue once volume supports it. Target: human support available within 24 hours for all users, priority response within 4 hours for losses above a threshold.</w:t>
      </w:r>
    </w:p>
    <w:p>
      <w:pPr>
        <w:pStyle w:val="Heading2"/>
        <w:spacing w:before="280" w:after="120"/>
      </w:pPr>
      <w:r>
        <w:rPr>
          <w:rFonts w:ascii="Arial" w:cs="Arial" w:eastAsia="Arial" w:hAnsi="Arial"/>
          <w:b/>
          <w:bCs/>
          <w:color w:val="4B2FB8"/>
          <w:sz w:val="26"/>
          <w:szCs w:val="26"/>
        </w:rPr>
        <w:t xml:space="preserve">Tier 4 — Social Recovery (V2)</w:t>
      </w:r>
    </w:p>
    <w:p>
      <w:pPr>
        <w:spacing w:before="80" w:after="80"/>
      </w:pPr>
      <w:r>
        <w:rPr>
          <w:rFonts w:ascii="Arial" w:cs="Arial" w:eastAsia="Arial" w:hAnsi="Arial"/>
          <w:color w:val="222222"/>
          <w:sz w:val="22"/>
          <w:szCs w:val="22"/>
        </w:rPr>
        <w:t xml:space="preserve">The seed phrase is crypto’s original sin for mainstream users. Social recovery — where a set of trusted contacts can collectively authorize wallet recovery without any single point of failure — is the closest thing to “call the bank” that non-custodial crypto can offer. A lost seed phrase no longer means permanent loss. This removes the single biggest barrier to mainstream adoption and the single biggest source of permanent fund loss. This is already listed as a V2 feature in the deferred features table and is confirmed as a customer service priority.</w:t>
      </w:r>
    </w:p>
    <w:p>
      <w:pPr>
        <w:spacing w:before="0" w:after="200"/>
      </w:pPr>
      <w:r>
        <w:rPr>
          <w:rFonts w:ascii="Arial" w:cs="Arial" w:eastAsia="Arial" w:hAnsi="Arial"/>
          <w:sz w:val="22"/>
        </w:rPr>
        <w:t xml:space="preserve"/>
      </w:r>
    </w:p>
    <w:p>
      <w:pPr>
        <w:pStyle w:val="Heading1"/>
        <w:pBdr>
          <w:bottom w:val="single" w:color="2D1A8A" w:sz="8" w:space="4"/>
        </w:pBdr>
        <w:spacing w:before="400" w:after="200"/>
      </w:pPr>
      <w:r>
        <w:rPr>
          <w:rFonts w:ascii="Arial" w:cs="Arial" w:eastAsia="Arial" w:hAnsi="Arial"/>
          <w:b/>
          <w:bCs/>
          <w:color w:val="1B0F5E"/>
          <w:sz w:val="32"/>
          <w:szCs w:val="32"/>
        </w:rPr>
        <w:t xml:space="preserve">V3 — NFTs as Real World Assets</w:t>
      </w:r>
    </w:p>
    <w:p>
      <w:pPr>
        <w:spacing w:before="80" w:after="80"/>
      </w:pPr>
      <w:r>
        <w:rPr>
          <w:rFonts w:ascii="Arial" w:cs="Arial" w:eastAsia="Arial" w:hAnsi="Arial"/>
          <w:color w:val="222222"/>
          <w:sz w:val="22"/>
          <w:szCs w:val="22"/>
        </w:rPr>
        <w:t xml:space="preserve">NFTs have a reputation problem caused almost entirely by the 2021–2022 speculative bubble. The underlying technology — a verifiable, unique, on-chain token linked to something — is genuinely powerful when applied to things that actually matter. Velcro’s NFT architecture is not a gallery of collectibles. It is an asset management layer for real-world value.</w:t>
      </w:r>
    </w:p>
    <w:p>
      <w:pPr>
        <w:pStyle w:val="Heading2"/>
        <w:spacing w:before="280" w:after="120"/>
      </w:pPr>
      <w:r>
        <w:rPr>
          <w:rFonts w:ascii="Arial" w:cs="Arial" w:eastAsia="Arial" w:hAnsi="Arial"/>
          <w:b/>
          <w:bCs/>
          <w:color w:val="4B2FB8"/>
          <w:sz w:val="26"/>
          <w:szCs w:val="26"/>
        </w:rPr>
        <w:t xml:space="preserve">Asset Categories — How NFTs Are Displayed</w:t>
      </w:r>
    </w:p>
    <w:p>
      <w:pPr>
        <w:spacing w:before="80" w:after="80"/>
      </w:pPr>
      <w:r>
        <w:rPr>
          <w:rFonts w:ascii="Arial" w:cs="Arial" w:eastAsia="Arial" w:hAnsi="Arial"/>
          <w:color w:val="222222"/>
          <w:sz w:val="22"/>
          <w:szCs w:val="22"/>
        </w:rPr>
        <w:t xml:space="preserve">NFTs are never shown as a separate “gallery” — that framing implies collectibles. They are displayed under Assets, categorised by what they actually represent:</w:t>
      </w:r>
    </w:p>
    <w:p>
      <w:pPr>
        <w:numPr>
          <w:ilvl w:val="0"/>
          <w:numId w:val="1"/>
        </w:numPr>
        <w:spacing w:before="60" w:after="60"/>
        <w:ind w:left="720" w:hanging="360"/>
      </w:pPr>
      <w:r>
        <w:rPr>
          <w:rFonts w:ascii="Arial" w:cs="Arial" w:eastAsia="Arial" w:hAnsi="Arial"/>
          <w:b/>
          <w:color w:val="4B2FB8"/>
          <w:sz w:val="22"/>
          <w:szCs w:val="22"/>
        </w:rPr>
        <w:t xml:space="preserve">Identity &amp; Credentials — </w:t>
      </w:r>
      <w:r>
        <w:rPr>
          <w:rFonts w:ascii="Arial" w:cs="Arial" w:eastAsia="Arial" w:hAnsi="Arial"/>
          <w:color w:val="333333"/>
          <w:sz w:val="22"/>
          <w:szCs w:val="22"/>
        </w:rPr>
        <w:t xml:space="preserve">UNHCR refugee registration, professional certifications, educational qualifications, government-issued ID on-chain. Verifiable, portable, not locked in any institution’s database. A refugee carrying identity on-chain cannot have it confiscated at a border. This connects directly to Velcro’s civil rights architecture and the founder’s direct experience in Jordan.</w:t>
      </w:r>
    </w:p>
    <w:p>
      <w:pPr>
        <w:numPr>
          <w:ilvl w:val="0"/>
          <w:numId w:val="1"/>
        </w:numPr>
        <w:spacing w:before="60" w:after="60"/>
        <w:ind w:left="720" w:hanging="360"/>
      </w:pPr>
      <w:r>
        <w:rPr>
          <w:rFonts w:ascii="Arial" w:cs="Arial" w:eastAsia="Arial" w:hAnsi="Arial"/>
          <w:b/>
          <w:color w:val="4B2FB8"/>
          <w:sz w:val="22"/>
          <w:szCs w:val="22"/>
        </w:rPr>
        <w:t xml:space="preserve">Real World Assets — </w:t>
      </w:r>
      <w:r>
        <w:rPr>
          <w:rFonts w:ascii="Arial" w:cs="Arial" w:eastAsia="Arial" w:hAnsi="Arial"/>
          <w:color w:val="333333"/>
          <w:sz w:val="22"/>
          <w:szCs w:val="22"/>
        </w:rPr>
        <w:t xml:space="preserve">Property deeds, vehicle titles, intellectual property licenses. Tokenized real assets transferable peer-to-peer without a title company, notary, or three-week escrow. Already happening in Switzerland and Dubai with real estate. Velcro makes this accessible to ordinary people.</w:t>
      </w:r>
    </w:p>
    <w:p>
      <w:pPr>
        <w:numPr>
          <w:ilvl w:val="0"/>
          <w:numId w:val="1"/>
        </w:numPr>
        <w:spacing w:before="60" w:after="60"/>
        <w:ind w:left="720" w:hanging="360"/>
      </w:pPr>
      <w:r>
        <w:rPr>
          <w:rFonts w:ascii="Arial" w:cs="Arial" w:eastAsia="Arial" w:hAnsi="Arial"/>
          <w:b/>
          <w:color w:val="4B2FB8"/>
          <w:sz w:val="22"/>
          <w:szCs w:val="22"/>
        </w:rPr>
        <w:t xml:space="preserve">Financial Instruments — </w:t>
      </w:r>
      <w:r>
        <w:rPr>
          <w:rFonts w:ascii="Arial" w:cs="Arial" w:eastAsia="Arial" w:hAnsi="Arial"/>
          <w:color w:val="333333"/>
          <w:sz w:val="22"/>
          <w:szCs w:val="22"/>
        </w:rPr>
        <w:t xml:space="preserve">Insurance policies, loan agreements, tokenized bonds. Financial products that currently require expensive intermediaries to create and transfer — made peer-to-peer.</w:t>
      </w:r>
    </w:p>
    <w:p>
      <w:pPr>
        <w:numPr>
          <w:ilvl w:val="0"/>
          <w:numId w:val="1"/>
        </w:numPr>
        <w:spacing w:before="60" w:after="60"/>
        <w:ind w:left="720" w:hanging="360"/>
      </w:pPr>
      <w:r>
        <w:rPr>
          <w:rFonts w:ascii="Arial" w:cs="Arial" w:eastAsia="Arial" w:hAnsi="Arial"/>
          <w:b/>
          <w:color w:val="4B2FB8"/>
          <w:sz w:val="22"/>
          <w:szCs w:val="22"/>
        </w:rPr>
        <w:t xml:space="preserve">Memberships &amp; Access Rights — </w:t>
      </w:r>
      <w:r>
        <w:rPr>
          <w:rFonts w:ascii="Arial" w:cs="Arial" w:eastAsia="Arial" w:hAnsi="Arial"/>
          <w:color w:val="333333"/>
          <w:sz w:val="22"/>
          <w:szCs w:val="22"/>
        </w:rPr>
        <w:t xml:space="preserve">Community membership, subscription access, DAO voting rights, event tickets. Functional NFTs — verifiable proof of a relationship or a right, not speculation.</w:t>
      </w:r>
    </w:p>
    <w:p>
      <w:pPr>
        <w:numPr>
          <w:ilvl w:val="0"/>
          <w:numId w:val="1"/>
        </w:numPr>
        <w:spacing w:before="60" w:after="60"/>
        <w:ind w:left="720" w:hanging="360"/>
      </w:pPr>
      <w:r>
        <w:rPr>
          <w:rFonts w:ascii="Arial" w:cs="Arial" w:eastAsia="Arial" w:hAnsi="Arial"/>
          <w:b/>
          <w:color w:val="4B2FB8"/>
          <w:sz w:val="22"/>
          <w:szCs w:val="22"/>
        </w:rPr>
        <w:t xml:space="preserve">Smart Contracts as Agreements — </w:t>
      </w:r>
      <w:r>
        <w:rPr>
          <w:rFonts w:ascii="Arial" w:cs="Arial" w:eastAsia="Arial" w:hAnsi="Arial"/>
          <w:color w:val="333333"/>
          <w:sz w:val="22"/>
          <w:szCs w:val="22"/>
        </w:rPr>
        <w:t xml:space="preserve">Rental agreements that auto-release deposits, service contracts that execute on completion, escrow arrangements. Agreements that do what they say, automatically, without a lawyer to enforce them.</w:t>
      </w:r>
    </w:p>
    <w:p>
      <w:pPr>
        <w:numPr>
          <w:ilvl w:val="0"/>
          <w:numId w:val="1"/>
        </w:numPr>
        <w:spacing w:before="60" w:after="60"/>
        <w:ind w:left="720" w:hanging="360"/>
      </w:pPr>
      <w:r>
        <w:rPr>
          <w:rFonts w:ascii="Arial" w:cs="Arial" w:eastAsia="Arial" w:hAnsi="Arial"/>
          <w:b/>
          <w:color w:val="4B2FB8"/>
          <w:sz w:val="22"/>
          <w:szCs w:val="22"/>
        </w:rPr>
        <w:t xml:space="preserve">Collectibles — </w:t>
      </w:r>
      <w:r>
        <w:rPr>
          <w:rFonts w:ascii="Arial" w:cs="Arial" w:eastAsia="Arial" w:hAnsi="Arial"/>
          <w:color w:val="333333"/>
          <w:sz w:val="22"/>
          <w:szCs w:val="22"/>
        </w:rPr>
        <w:t xml:space="preserve">Art and speculative NFTs. Displayed last, clearly labelled, treated differently by the Portfolio Intelligence Agent which flags high-volatility assets distinctly from real-world asset NFTs.</w:t>
      </w:r>
    </w:p>
    <w:p>
      <w:pPr>
        <w:pStyle w:val="Heading2"/>
        <w:spacing w:before="280" w:after="120"/>
      </w:pPr>
      <w:r>
        <w:rPr>
          <w:rFonts w:ascii="Arial" w:cs="Arial" w:eastAsia="Arial" w:hAnsi="Arial"/>
          <w:b/>
          <w:bCs/>
          <w:color w:val="4B2FB8"/>
          <w:sz w:val="26"/>
          <w:szCs w:val="26"/>
        </w:rPr>
        <w:t xml:space="preserve">Agent Handling of NFT Assets</w:t>
      </w:r>
    </w:p>
    <w:p>
      <w:pPr>
        <w:spacing w:before="80" w:after="80"/>
      </w:pPr>
      <w:r>
        <w:rPr>
          <w:rFonts w:ascii="Arial" w:cs="Arial" w:eastAsia="Arial" w:hAnsi="Arial"/>
          <w:color w:val="222222"/>
          <w:sz w:val="22"/>
          <w:szCs w:val="22"/>
        </w:rPr>
        <w:t xml:space="preserve">The Portfolio Intelligence Agent treats NFT categories differently. A property deed NFT is flagged as a high-value asset requiring additional confirmation steps before any transfer, shown with its linked real-world value, and monitored for on-chain status changes. A collectible NFT is treated with the same volatility flags as any speculative asset. Identity credentials are flagged as non-transferable by default unless the user explicitly overrides. This is the agent layer applying judgment, not just displaying data.</w:t>
      </w:r>
    </w:p>
    <w:p>
      <w:pPr>
        <w:pStyle w:val="Heading2"/>
        <w:spacing w:before="280" w:after="120"/>
      </w:pPr>
      <w:r>
        <w:rPr>
          <w:rFonts w:ascii="Arial" w:cs="Arial" w:eastAsia="Arial" w:hAnsi="Arial"/>
          <w:b/>
          <w:bCs/>
          <w:color w:val="4B2FB8"/>
          <w:sz w:val="26"/>
          <w:szCs w:val="26"/>
        </w:rPr>
        <w:t xml:space="preserve">Architecture Note</w:t>
      </w:r>
    </w:p>
    <w:p>
      <w:pPr>
        <w:spacing w:before="80" w:after="80"/>
      </w:pPr>
      <w:r>
        <w:rPr>
          <w:rFonts w:ascii="Arial" w:cs="Arial" w:eastAsia="Arial" w:hAnsi="Arial"/>
          <w:color w:val="222222"/>
          <w:sz w:val="22"/>
          <w:szCs w:val="22"/>
        </w:rPr>
        <w:t xml:space="preserve">NFT display and management is a V3 feature in the UI. However the underlying architecture — specifically the asset categorisation schema, the agent handling rules, and the on-chain metadata reading layer — must be designed into the foundation from V1. Adding NFT support to a wallet not built for it is a painful retrofit. Building the hooks in from the start costs almost nothing extra and makes V3 a natural extension rather than a rebuild.</w:t>
      </w:r>
    </w:p>
    <w:p>
      <w:pPr>
        <w:spacing w:before="0" w:after="200"/>
      </w:pPr>
      <w:r>
        <w:rPr>
          <w:rFonts w:ascii="Arial" w:cs="Arial" w:eastAsia="Arial" w:hAnsi="Arial"/>
          <w:sz w:val="22"/>
        </w:rPr>
        <w:t xml:space="preserve"/>
      </w:r>
    </w:p>
    <w:p>
      <w:pPr>
        <w:pStyle w:val="Heading1"/>
        <w:pBdr>
          <w:bottom w:val="single" w:color="1A3A6B" w:sz="8" w:space="4"/>
        </w:pBdr>
        <w:spacing w:before="400" w:after="200"/>
      </w:pPr>
      <w:r>
        <w:rPr>
          <w:rFonts w:ascii="Arial" w:cs="Arial" w:eastAsia="Arial" w:hAnsi="Arial"/>
          <w:b/>
          <w:bCs/>
          <w:color w:val="1B0F5E"/>
          <w:sz w:val="32"/>
          <w:szCs w:val="32"/>
        </w:rPr>
        <w:t xml:space="preserve">Founding Principles — Non-Negotiable</w:t>
      </w:r>
    </w:p>
    <w:p>
      <w:pPr>
        <w:spacing w:before="0" w:after="12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200"/>
        <w:gridCol w:w="9160"/>
      </w:tblGrid>
      <w:tr>
        <w:tc>
          <w:tcPr>
            <w:tcW w:type="dxa" w:w="200"/>
            <w:tcBorders>
              <w:top w:val="none" w:color="FFFFFF" w:sz="0"/>
              <w:left w:val="none" w:color="FFFFFF" w:sz="0"/>
              <w:bottom w:val="none" w:color="FFFFFF" w:sz="0"/>
              <w:right w:val="none" w:color="FFFFFF" w:sz="0"/>
            </w:tcBorders>
            <w:shd w:fill="4B2FB8" w:val="clear"/>
            <w:tcMar>
              <w:top w:type="dxa" w:w="80"/>
              <w:left w:type="dxa" w:w="80"/>
              <w:bottom w:type="dxa" w:w="80"/>
              <w:right w:type="dxa" w:w="80"/>
            </w:tcMar>
          </w:tcPr>
          <w:p>
            <w:r>
              <w:rPr>
                <w:rFonts w:ascii="Arial" w:cs="Arial" w:eastAsia="Arial" w:hAnsi="Arial"/>
                <w:sz w:val="20"/>
                <w:szCs w:val="20"/>
              </w:rPr>
              <w:t xml:space="preserve"/>
            </w:r>
          </w:p>
        </w:tc>
        <w:tc>
          <w:tcPr>
            <w:tcW w:type="dxa" w:w="9160"/>
            <w:tcBorders>
              <w:top w:val="none" w:color="FFFFFF" w:sz="0"/>
              <w:left w:val="none" w:color="FFFFFF" w:sz="0"/>
              <w:bottom w:val="none" w:color="FFFFFF" w:sz="0"/>
              <w:right w:val="none" w:color="FFFFFF" w:sz="0"/>
            </w:tcBorders>
            <w:shd w:fill="F0EDFF" w:val="clear"/>
            <w:tcMar>
              <w:top w:type="dxa" w:w="100"/>
              <w:left w:type="dxa" w:w="200"/>
              <w:bottom w:type="dxa" w:w="100"/>
              <w:right w:type="dxa" w:w="120"/>
            </w:tcMar>
          </w:tcPr>
          <w:p>
            <w:r>
              <w:rPr>
                <w:rFonts w:ascii="Arial" w:cs="Arial" w:eastAsia="Arial" w:hAnsi="Arial"/>
                <w:b/>
                <w:bCs/>
                <w:color w:val="6B4FD8"/>
                <w:sz w:val="20"/>
                <w:szCs w:val="20"/>
              </w:rPr>
              <w:t xml:space="preserve">Free Forever</w:t>
            </w:r>
          </w:p>
          <w:p>
            <w:pPr>
              <w:spacing w:before="40"/>
            </w:pPr>
            <w:r>
              <w:rPr>
                <w:rFonts w:ascii="Arial" w:cs="Arial" w:eastAsia="Arial" w:hAnsi="Arial"/>
                <w:color w:val="333333"/>
                <w:sz w:val="20"/>
                <w:szCs w:val="20"/>
              </w:rPr>
              <w:t xml:space="preserve">The app is free. Every feature is free. Every user gets the full product. This is not a marketing position — it is a product architecture decision. We do not build locked features.</w:t>
            </w:r>
          </w:p>
        </w:tc>
      </w:tr>
    </w:tbl>
    <w:p>
      <w:pPr>
        <w:spacing w:before="0" w:after="12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200"/>
        <w:gridCol w:w="9160"/>
      </w:tblGrid>
      <w:tr>
        <w:tc>
          <w:tcPr>
            <w:tcW w:type="dxa" w:w="200"/>
            <w:tcBorders>
              <w:top w:val="none" w:color="FFFFFF" w:sz="0"/>
              <w:left w:val="none" w:color="FFFFFF" w:sz="0"/>
              <w:bottom w:val="none" w:color="FFFFFF" w:sz="0"/>
              <w:right w:val="none" w:color="FFFFFF" w:sz="0"/>
            </w:tcBorders>
            <w:shd w:fill="2D1A8A" w:val="clear"/>
            <w:tcMar>
              <w:top w:type="dxa" w:w="80"/>
              <w:left w:type="dxa" w:w="80"/>
              <w:bottom w:type="dxa" w:w="80"/>
              <w:right w:type="dxa" w:w="80"/>
            </w:tcMar>
          </w:tcPr>
          <w:p>
            <w:r>
              <w:rPr>
                <w:rFonts w:ascii="Arial" w:cs="Arial" w:eastAsia="Arial" w:hAnsi="Arial"/>
                <w:sz w:val="20"/>
                <w:szCs w:val="20"/>
              </w:rPr>
              <w:t xml:space="preserve"/>
            </w:r>
          </w:p>
        </w:tc>
        <w:tc>
          <w:tcPr>
            <w:tcW w:type="dxa" w:w="9160"/>
            <w:tcBorders>
              <w:top w:val="none" w:color="FFFFFF" w:sz="0"/>
              <w:left w:val="none" w:color="FFFFFF" w:sz="0"/>
              <w:bottom w:val="none" w:color="FFFFFF" w:sz="0"/>
              <w:right w:val="none" w:color="FFFFFF" w:sz="0"/>
            </w:tcBorders>
            <w:shd w:fill="F0EDFF" w:val="clear"/>
            <w:tcMar>
              <w:top w:type="dxa" w:w="100"/>
              <w:left w:type="dxa" w:w="200"/>
              <w:bottom w:type="dxa" w:w="100"/>
              <w:right w:type="dxa" w:w="120"/>
            </w:tcMar>
          </w:tcPr>
          <w:p>
            <w:r>
              <w:rPr>
                <w:rFonts w:ascii="Arial" w:cs="Arial" w:eastAsia="Arial" w:hAnsi="Arial"/>
                <w:b/>
                <w:bCs/>
                <w:color w:val="2D1A8A"/>
                <w:sz w:val="20"/>
                <w:szCs w:val="20"/>
              </w:rPr>
              <w:t xml:space="preserve">Radical Transparency</w:t>
            </w:r>
          </w:p>
          <w:p>
            <w:pPr>
              <w:spacing w:before="40"/>
            </w:pPr>
            <w:r>
              <w:rPr>
                <w:rFonts w:ascii="Arial" w:cs="Arial" w:eastAsia="Arial" w:hAnsi="Arial"/>
                <w:color w:val="333333"/>
                <w:sz w:val="20"/>
                <w:szCs w:val="20"/>
              </w:rPr>
              <w:t xml:space="preserve">We take a spread. We say so. We show the raw market price and our price side by side. No wallet does this. It is our most powerful trust-building feature and it costs us nothing to offer.</w:t>
            </w:r>
          </w:p>
        </w:tc>
      </w:tr>
    </w:tbl>
    <w:p>
      <w:pPr>
        <w:spacing w:before="0" w:after="12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200"/>
        <w:gridCol w:w="9160"/>
      </w:tblGrid>
      <w:tr>
        <w:tc>
          <w:tcPr>
            <w:tcW w:type="dxa" w:w="200"/>
            <w:tcBorders>
              <w:top w:val="none" w:color="FFFFFF" w:sz="0"/>
              <w:left w:val="none" w:color="FFFFFF" w:sz="0"/>
              <w:bottom w:val="none" w:color="FFFFFF" w:sz="0"/>
              <w:right w:val="none" w:color="FFFFFF" w:sz="0"/>
            </w:tcBorders>
            <w:shd w:fill="4B2FB8" w:val="clear"/>
            <w:tcMar>
              <w:top w:type="dxa" w:w="80"/>
              <w:left w:type="dxa" w:w="80"/>
              <w:bottom w:type="dxa" w:w="80"/>
              <w:right w:type="dxa" w:w="80"/>
            </w:tcMar>
          </w:tcPr>
          <w:p>
            <w:r>
              <w:rPr>
                <w:rFonts w:ascii="Arial" w:cs="Arial" w:eastAsia="Arial" w:hAnsi="Arial"/>
                <w:sz w:val="20"/>
                <w:szCs w:val="20"/>
              </w:rPr>
              <w:t xml:space="preserve"/>
            </w:r>
          </w:p>
        </w:tc>
        <w:tc>
          <w:tcPr>
            <w:tcW w:type="dxa" w:w="9160"/>
            <w:tcBorders>
              <w:top w:val="none" w:color="FFFFFF" w:sz="0"/>
              <w:left w:val="none" w:color="FFFFFF" w:sz="0"/>
              <w:bottom w:val="none" w:color="FFFFFF" w:sz="0"/>
              <w:right w:val="none" w:color="FFFFFF" w:sz="0"/>
            </w:tcBorders>
            <w:shd w:fill="F0EDFF" w:val="clear"/>
            <w:tcMar>
              <w:top w:type="dxa" w:w="100"/>
              <w:left w:type="dxa" w:w="200"/>
              <w:bottom w:type="dxa" w:w="100"/>
              <w:right w:type="dxa" w:w="120"/>
            </w:tcMar>
          </w:tcPr>
          <w:p>
            <w:r>
              <w:rPr>
                <w:rFonts w:ascii="Arial" w:cs="Arial" w:eastAsia="Arial" w:hAnsi="Arial"/>
                <w:b/>
                <w:bCs/>
                <w:color w:val="6B4FD8"/>
                <w:sz w:val="20"/>
                <w:szCs w:val="20"/>
              </w:rPr>
              <w:t xml:space="preserve">User Alignment</w:t>
            </w:r>
          </w:p>
          <w:p>
            <w:pPr>
              <w:spacing w:before="40"/>
            </w:pPr>
            <w:r>
              <w:rPr>
                <w:rFonts w:ascii="Arial" w:cs="Arial" w:eastAsia="Arial" w:hAnsi="Arial"/>
                <w:color w:val="333333"/>
                <w:sz w:val="20"/>
                <w:szCs w:val="20"/>
              </w:rPr>
              <w:t xml:space="preserve">Every dollar we make comes from users trading more, saving more, and sending more. Our incentives are completely aligned with user success. We do not profit when users lose, when users are surveilled, or when users are confused.</w:t>
            </w:r>
          </w:p>
        </w:tc>
      </w:tr>
    </w:tbl>
    <w:p>
      <w:pPr>
        <w:spacing w:before="0" w:after="12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200"/>
        <w:gridCol w:w="9160"/>
      </w:tblGrid>
      <w:tr>
        <w:tc>
          <w:tcPr>
            <w:tcW w:type="dxa" w:w="200"/>
            <w:tcBorders>
              <w:top w:val="none" w:color="FFFFFF" w:sz="0"/>
              <w:left w:val="none" w:color="FFFFFF" w:sz="0"/>
              <w:bottom w:val="none" w:color="FFFFFF" w:sz="0"/>
              <w:right w:val="none" w:color="FFFFFF" w:sz="0"/>
            </w:tcBorders>
            <w:shd w:fill="2D1A8A" w:val="clear"/>
            <w:tcMar>
              <w:top w:type="dxa" w:w="80"/>
              <w:left w:type="dxa" w:w="80"/>
              <w:bottom w:type="dxa" w:w="80"/>
              <w:right w:type="dxa" w:w="80"/>
            </w:tcMar>
          </w:tcPr>
          <w:p>
            <w:r>
              <w:rPr>
                <w:rFonts w:ascii="Arial" w:cs="Arial" w:eastAsia="Arial" w:hAnsi="Arial"/>
                <w:sz w:val="20"/>
                <w:szCs w:val="20"/>
              </w:rPr>
              <w:t xml:space="preserve"/>
            </w:r>
          </w:p>
        </w:tc>
        <w:tc>
          <w:tcPr>
            <w:tcW w:type="dxa" w:w="9160"/>
            <w:tcBorders>
              <w:top w:val="none" w:color="FFFFFF" w:sz="0"/>
              <w:left w:val="none" w:color="FFFFFF" w:sz="0"/>
              <w:bottom w:val="none" w:color="FFFFFF" w:sz="0"/>
              <w:right w:val="none" w:color="FFFFFF" w:sz="0"/>
            </w:tcBorders>
            <w:shd w:fill="F0EDFF" w:val="clear"/>
            <w:tcMar>
              <w:top w:type="dxa" w:w="100"/>
              <w:left w:type="dxa" w:w="200"/>
              <w:bottom w:type="dxa" w:w="100"/>
              <w:right w:type="dxa" w:w="120"/>
            </w:tcMar>
          </w:tcPr>
          <w:p>
            <w:r>
              <w:rPr>
                <w:rFonts w:ascii="Arial" w:cs="Arial" w:eastAsia="Arial" w:hAnsi="Arial"/>
                <w:b/>
                <w:bCs/>
                <w:color w:val="2D1A8A"/>
                <w:sz w:val="20"/>
                <w:szCs w:val="20"/>
              </w:rPr>
              <w:t xml:space="preserve">Civil Rights by Design</w:t>
            </w:r>
          </w:p>
          <w:p>
            <w:pPr>
              <w:spacing w:before="40"/>
            </w:pPr>
            <w:r>
              <w:rPr>
                <w:rFonts w:ascii="Arial" w:cs="Arial" w:eastAsia="Arial" w:hAnsi="Arial"/>
                <w:color w:val="333333"/>
                <w:sz w:val="20"/>
                <w:szCs w:val="20"/>
              </w:rPr>
              <w:t xml:space="preserve">Privacy is architecture, not policy. On-chain contacts are owned by users, not the platform. No advertising. No data sale. The communities most harmed by Web1's failures are considered in every design decision — not as a future initiative but as a founding constraint.</w:t>
            </w:r>
          </w:p>
        </w:tc>
      </w:tr>
    </w:tbl>
    <w:p>
      <w:pPr>
        <w:spacing w:before="0" w:after="120"/>
      </w:pPr>
      <w:r>
        <w:t xml:space="preserve"/>
      </w:r>
    </w:p>
    <w:p>
      <w:pPr>
        <w:pStyle w:val="Heading1"/>
        <w:pBdr>
          <w:bottom w:val="single" w:color="1A3A6B" w:sz="8" w:space="4"/>
        </w:pBdr>
        <w:spacing w:before="400" w:after="200"/>
      </w:pPr>
      <w:r>
        <w:rPr>
          <w:rFonts w:ascii="Arial" w:cs="Arial" w:eastAsia="Arial" w:hAnsi="Arial"/>
          <w:b/>
          <w:bCs/>
          <w:color w:val="1B0F5E"/>
          <w:sz w:val="32"/>
          <w:szCs w:val="32"/>
        </w:rPr>
        <w:t xml:space="preserve">Velcro Wallet Integration</w:t>
      </w:r>
    </w:p>
    <w:p>
      <w:pPr>
        <w:spacing w:before="80" w:after="80"/>
      </w:pPr>
      <w:r>
        <w:rPr>
          <w:rFonts w:ascii="Arial" w:cs="Arial" w:eastAsia="Arial" w:hAnsi="Arial"/>
          <w:color w:val="222222"/>
          <w:sz w:val="22"/>
          <w:szCs w:val="22"/>
        </w:rPr>
        <w:t>The Velcro wallet is being built on top of the Velcro wallet project already in development. This section documents exactly how the two products integrate, what carries over unchanged, what is upgraded, and how they fit within the broader Vela Protocol ecosystem including the Vela Protocol search engine and Vela social assistant.</w:t>
      </w:r>
    </w:p>
    <w:p>
      <w:pPr>
        <w:spacing w:before="80" w:after="80"/>
      </w:pPr>
      <w:r>
        <w:rPr>
          <w:rFonts w:ascii="Arial" w:cs="Arial" w:eastAsia="Arial" w:hAnsi="Arial"/>
          <w:color w:val="222222"/>
          <w:sz w:val="22"/>
          <w:szCs w:val="22"/>
          <w:i/>
          <w:iCs/>
        </w:rPr>
        <w:t>Velcro wallet link: velcro.dev</w:t>
      </w:r>
    </w:p>
    <w:p>
      <w:pPr>
        <w:pStyle w:val="Heading2"/>
        <w:spacing w:before="300" w:after="160"/>
      </w:pPr>
      <w:r>
        <w:rPr>
          <w:rFonts w:ascii="Arial" w:cs="Arial" w:eastAsia="Arial" w:hAnsi="Arial"/>
          <w:b/>
          <w:bCs/>
          <w:color w:val="2D1A8A"/>
          <w:sz w:val="26"/>
          <w:szCs w:val="26"/>
        </w:rPr>
        <w:t xml:space="preserve">What Carries Over From Velcro Unchanged</w:t>
      </w:r>
    </w:p>
    <w:p>
      <w:pPr>
        <w:numPr>
          <w:ilvl w:val="0"/>
          <w:numId w:val="1"/>
        </w:numPr>
        <w:spacing w:before="60" w:after="60"/>
        <w:ind w:left="720" w:hanging="360"/>
      </w:pPr>
      <w:r>
        <w:rPr>
          <w:rFonts w:ascii="Arial" w:cs="Arial" w:eastAsia="Arial" w:hAnsi="Arial"/>
          <w:color w:val="222222"/>
          <w:sz w:val="22"/>
          <w:szCs w:val="22"/>
        </w:rPr>
        <w:t xml:space="preserve">Non-custodial architecture — keys never leave the user’s device. This is the foundational legal and ethical design principle and it does not change.</w:t>
      </w:r>
    </w:p>
    <w:p>
      <w:pPr>
        <w:numPr>
          <w:ilvl w:val="0"/>
          <w:numId w:val="1"/>
        </w:numPr>
        <w:spacing w:before="60" w:after="60"/>
        <w:ind w:left="720" w:hanging="360"/>
      </w:pPr>
      <w:r>
        <w:rPr>
          <w:rFonts w:ascii="Arial" w:cs="Arial" w:eastAsia="Arial" w:hAnsi="Arial"/>
          <w:color w:val="222222"/>
          <w:sz w:val="22"/>
          <w:szCs w:val="22"/>
        </w:rPr>
        <w:t xml:space="preserve">P2P exchange design with smart contract escrow — no company in the middle of any trade. The escrow mechanism from Velcro is the base layer for the Counterparty Intelligence Agent to operate on top of.</w:t>
      </w:r>
    </w:p>
    <w:p>
      <w:pPr>
        <w:numPr>
          <w:ilvl w:val="0"/>
          <w:numId w:val="1"/>
        </w:numPr>
        <w:spacing w:before="60" w:after="60"/>
        <w:ind w:left="720" w:hanging="360"/>
      </w:pPr>
      <w:r>
        <w:rPr>
          <w:rFonts w:ascii="Arial" w:cs="Arial" w:eastAsia="Arial" w:hAnsi="Arial"/>
          <w:color w:val="222222"/>
          <w:sz w:val="22"/>
          <w:szCs w:val="22"/>
        </w:rPr>
        <w:t xml:space="preserve">Open source codebase on GitHub — transparency by design, not by obligation.</w:t>
      </w:r>
    </w:p>
    <w:p>
      <w:pPr>
        <w:numPr>
          <w:ilvl w:val="0"/>
          <w:numId w:val="1"/>
        </w:numPr>
        <w:spacing w:before="60" w:after="60"/>
        <w:ind w:left="720" w:hanging="360"/>
      </w:pPr>
      <w:r>
        <w:rPr>
          <w:rFonts w:ascii="Arial" w:cs="Arial" w:eastAsia="Arial" w:hAnsi="Arial"/>
          <w:color w:val="222222"/>
          <w:sz w:val="22"/>
          <w:szCs w:val="22"/>
        </w:rPr>
        <w:t xml:space="preserve">Swiss legal structure — FINMA-compliant software product, not a financial service. The wallet holds no user funds. The exchange holds no funds. Keys never leave devices. This architecture is the correct one and it stays.</w:t>
      </w:r>
    </w:p>
    <w:p>
      <w:pPr>
        <w:numPr>
          <w:ilvl w:val="0"/>
          <w:numId w:val="1"/>
        </w:numPr>
        <w:spacing w:before="60" w:after="60"/>
        <w:ind w:left="720" w:hanging="360"/>
      </w:pPr>
      <w:r>
        <w:rPr>
          <w:rFonts w:ascii="Arial" w:cs="Arial" w:eastAsia="Arial" w:hAnsi="Arial"/>
          <w:color w:val="222222"/>
          <w:sz w:val="22"/>
          <w:szCs w:val="22"/>
        </w:rPr>
        <w:t xml:space="preserve">Privacy-first identity and positioning — no KYC required for basic use, no advertising, no data sale. These are founding constraints, not features.</w:t>
      </w:r>
    </w:p>
    <w:p>
      <w:pPr>
        <w:numPr>
          <w:ilvl w:val="0"/>
          <w:numId w:val="1"/>
        </w:numPr>
        <w:spacing w:before="60" w:after="60"/>
        <w:ind w:left="720" w:hanging="360"/>
      </w:pPr>
      <w:r>
        <w:rPr>
          <w:rFonts w:ascii="Arial" w:cs="Arial" w:eastAsia="Arial" w:hAnsi="Arial"/>
          <w:color w:val="222222"/>
          <w:sz w:val="22"/>
          <w:szCs w:val="22"/>
        </w:rPr>
        <w:t xml:space="preserve">Wyoming LLC entity as secondary structure alongside the Swiss GmbH — most crypto-friendly US state, explicit crypto asset legislation, does not trigger US tax on foreign-sourced income for non-US persons.</w:t>
      </w:r>
    </w:p>
    <w:p>
      <w:pPr>
        <w:pStyle w:val="Heading2"/>
        <w:spacing w:before="300" w:after="160"/>
      </w:pPr>
      <w:r>
        <w:rPr>
          <w:rFonts w:ascii="Arial" w:cs="Arial" w:eastAsia="Arial" w:hAnsi="Arial"/>
          <w:b/>
          <w:bCs/>
          <w:color w:val="2D1A8A"/>
          <w:sz w:val="26"/>
          <w:szCs w:val="26"/>
        </w:rPr>
        <w:t xml:space="preserve">What Is Upgraded From Velcro</w:t>
      </w:r>
    </w:p>
    <w:tbl>
      <w:tblPr>
        <w:tblW w:type="dxa" w:w="9360"/>
        <w:tblBorders>
          <w:top w:val="single" w:color="CCCCCC" w:sz="1"/>
          <w:bottom w:val="single" w:color="CCCCCC" w:sz="1"/>
          <w:left w:val="single" w:color="CCCCCC" w:sz="1"/>
          <w:right w:val="single" w:color="CCCCCC" w:sz="1"/>
          <w:insideH w:val="single" w:color="CCCCCC" w:sz="1"/>
          <w:insideV w:val="single" w:color="CCCCCC" w:sz="1"/>
        </w:tblBorders>
      </w:tblPr>
      <w:tblGrid>
        <w:gridCol w:w="2600"/>
        <w:gridCol w:w="3380"/>
        <w:gridCol w:w="3380"/>
      </w:tblGrid>
      <w:tr>
        <w:trPr>
          <w:tblHeader/>
        </w:trPr>
        <w:tc>
          <w:tcPr>
            <w:tcW w:type="dxa" w:w="2600"/>
            <w:shd w:fill="2D1A8A" w:val="clear"/>
            <w:tcMar>
              <w:top w:type="dxa" w:w="80"/>
              <w:bottom w:type="dxa" w:w="80"/>
              <w:left w:type="dxa" w:w="120"/>
              <w:right w:type="dxa" w:w="120"/>
            </w:tcMar>
          </w:tcPr>
          <w:p>
            <w:r>
              <w:rPr>
                <w:rFonts w:ascii="Arial" w:cs="Arial" w:eastAsia="Arial" w:hAnsi="Arial"/>
                <w:b/>
                <w:color w:val="FFFFFF"/>
                <w:sz w:val="20"/>
              </w:rPr>
              <w:t>Area</w:t>
            </w:r>
          </w:p>
        </w:tc>
        <w:tc>
          <w:tcPr>
            <w:tcW w:type="dxa" w:w="3380"/>
            <w:shd w:fill="2D1A8A" w:val="clear"/>
            <w:tcMar>
              <w:top w:type="dxa" w:w="80"/>
              <w:bottom w:type="dxa" w:w="80"/>
              <w:left w:type="dxa" w:w="120"/>
              <w:right w:type="dxa" w:w="120"/>
            </w:tcMar>
          </w:tcPr>
          <w:p>
            <w:r>
              <w:rPr>
                <w:rFonts w:ascii="Arial" w:cs="Arial" w:eastAsia="Arial" w:hAnsi="Arial"/>
                <w:b/>
                <w:color w:val="FFFFFF"/>
                <w:sz w:val="20"/>
              </w:rPr>
              <w:t>Velcro Original</w:t>
            </w:r>
          </w:p>
        </w:tc>
        <w:tc>
          <w:tcPr>
            <w:tcW w:type="dxa" w:w="3380"/>
            <w:shd w:fill="2D1A8A" w:val="clear"/>
            <w:tcMar>
              <w:top w:type="dxa" w:w="80"/>
              <w:bottom w:type="dxa" w:w="80"/>
              <w:left w:type="dxa" w:w="120"/>
              <w:right w:type="dxa" w:w="120"/>
            </w:tcMar>
          </w:tcPr>
          <w:p>
            <w:r>
              <w:rPr>
                <w:rFonts w:ascii="Arial" w:cs="Arial" w:eastAsia="Arial" w:hAnsi="Arial"/>
                <w:b/>
                <w:color w:val="FFFFFF"/>
                <w:sz w:val="20"/>
              </w:rPr>
              <w:t>loveconcursall Upgrade</w:t>
            </w:r>
          </w:p>
        </w:tc>
      </w:tr>
      <w:tr>
        <w:tc>
          <w:tcPr>
            <w:tcW w:type="dxa" w:w="2600"/>
            <w:shd w:fill="FFFFFF" w:val="clear"/>
            <w:tcMar>
              <w:top w:type="dxa" w:w="80"/>
              <w:bottom w:type="dxa" w:w="80"/>
              <w:left w:type="dxa" w:w="120"/>
              <w:right w:type="dxa" w:w="120"/>
            </w:tcMar>
          </w:tcPr>
          <w:p>
            <w:r>
              <w:rPr>
                <w:rFonts w:ascii="Arial" w:cs="Arial" w:eastAsia="Arial" w:hAnsi="Arial"/>
                <w:color w:val="222222"/>
                <w:sz w:val="20"/>
              </w:rPr>
              <w:t>Primary chain</w:t>
            </w:r>
          </w:p>
        </w:tc>
        <w:tc>
          <w:tcPr>
            <w:tcW w:type="dxa" w:w="3380"/>
            <w:shd w:fill="FFFFFF" w:val="clear"/>
            <w:tcMar>
              <w:top w:type="dxa" w:w="80"/>
              <w:bottom w:type="dxa" w:w="80"/>
              <w:left w:type="dxa" w:w="120"/>
              <w:right w:type="dxa" w:w="120"/>
            </w:tcMar>
          </w:tcPr>
          <w:p>
            <w:r>
              <w:rPr>
                <w:rFonts w:ascii="Arial" w:cs="Arial" w:eastAsia="Arial" w:hAnsi="Arial"/>
                <w:color w:val="222222"/>
                <w:sz w:val="20"/>
              </w:rPr>
              <w:t>Monero-first</w:t>
            </w:r>
          </w:p>
        </w:tc>
        <w:tc>
          <w:tcPr>
            <w:tcW w:type="dxa" w:w="3380"/>
            <w:shd w:fill="FFFFFF" w:val="clear"/>
            <w:tcMar>
              <w:top w:type="dxa" w:w="80"/>
              <w:bottom w:type="dxa" w:w="80"/>
              <w:left w:type="dxa" w:w="120"/>
              <w:right w:type="dxa" w:w="120"/>
            </w:tcMar>
          </w:tcPr>
          <w:p>
            <w:r>
              <w:rPr>
                <w:rFonts w:ascii="Arial" w:cs="Arial" w:eastAsia="Arial" w:hAnsi="Arial"/>
                <w:color w:val="222222"/>
                <w:sz w:val="20"/>
              </w:rPr>
              <w:t>Solana + EVM (Monero in V2)</w:t>
            </w:r>
          </w:p>
        </w:tc>
      </w:tr>
      <w:tr>
        <w:tc>
          <w:tcPr>
            <w:tcW w:type="dxa" w:w="2600"/>
            <w:shd w:fill="F0EDFF" w:val="clear"/>
            <w:tcMar>
              <w:top w:type="dxa" w:w="80"/>
              <w:bottom w:type="dxa" w:w="80"/>
              <w:left w:type="dxa" w:w="120"/>
              <w:right w:type="dxa" w:w="120"/>
            </w:tcMar>
          </w:tcPr>
          <w:p>
            <w:r>
              <w:rPr>
                <w:rFonts w:ascii="Arial" w:cs="Arial" w:eastAsia="Arial" w:hAnsi="Arial"/>
                <w:color w:val="222222"/>
                <w:sz w:val="20"/>
              </w:rPr>
              <w:t>Primary asset</w:t>
            </w:r>
          </w:p>
        </w:tc>
        <w:tc>
          <w:tcPr>
            <w:tcW w:type="dxa" w:w="3380"/>
            <w:shd w:fill="F0EDFF" w:val="clear"/>
            <w:tcMar>
              <w:top w:type="dxa" w:w="80"/>
              <w:bottom w:type="dxa" w:w="80"/>
              <w:left w:type="dxa" w:w="120"/>
              <w:right w:type="dxa" w:w="120"/>
            </w:tcMar>
          </w:tcPr>
          <w:p>
            <w:r>
              <w:rPr>
                <w:rFonts w:ascii="Arial" w:cs="Arial" w:eastAsia="Arial" w:hAnsi="Arial"/>
                <w:color w:val="222222"/>
                <w:sz w:val="20"/>
              </w:rPr>
              <w:t>XMR (Monero)</w:t>
            </w:r>
          </w:p>
        </w:tc>
        <w:tc>
          <w:tcPr>
            <w:tcW w:type="dxa" w:w="3380"/>
            <w:shd w:fill="F0EDFF" w:val="clear"/>
            <w:tcMar>
              <w:top w:type="dxa" w:w="80"/>
              <w:bottom w:type="dxa" w:w="80"/>
              <w:left w:type="dxa" w:w="120"/>
              <w:right w:type="dxa" w:w="120"/>
            </w:tcMar>
          </w:tcPr>
          <w:p>
            <w:r>
              <w:rPr>
                <w:rFonts w:ascii="Arial" w:cs="Arial" w:eastAsia="Arial" w:hAnsi="Arial"/>
                <w:color w:val="222222"/>
                <w:sz w:val="20"/>
              </w:rPr>
              <w:t>USDC (stablecoin first)</w:t>
            </w:r>
          </w:p>
        </w:tc>
      </w:tr>
      <w:tr>
        <w:tc>
          <w:tcPr>
            <w:tcW w:type="dxa" w:w="2600"/>
            <w:shd w:fill="FFFFFF" w:val="clear"/>
            <w:tcMar>
              <w:top w:type="dxa" w:w="80"/>
              <w:bottom w:type="dxa" w:w="80"/>
              <w:left w:type="dxa" w:w="120"/>
              <w:right w:type="dxa" w:w="120"/>
            </w:tcMar>
          </w:tcPr>
          <w:p>
            <w:r>
              <w:rPr>
                <w:rFonts w:ascii="Arial" w:cs="Arial" w:eastAsia="Arial" w:hAnsi="Arial"/>
                <w:color w:val="222222"/>
                <w:sz w:val="20"/>
              </w:rPr>
              <w:t>Intelligence layer</w:t>
            </w:r>
          </w:p>
        </w:tc>
        <w:tc>
          <w:tcPr>
            <w:tcW w:type="dxa" w:w="3380"/>
            <w:shd w:fill="FFFFFF" w:val="clear"/>
            <w:tcMar>
              <w:top w:type="dxa" w:w="80"/>
              <w:bottom w:type="dxa" w:w="80"/>
              <w:left w:type="dxa" w:w="120"/>
              <w:right w:type="dxa" w:w="120"/>
            </w:tcMar>
          </w:tcPr>
          <w:p>
            <w:r>
              <w:rPr>
                <w:rFonts w:ascii="Arial" w:cs="Arial" w:eastAsia="Arial" w:hAnsi="Arial"/>
                <w:color w:val="222222"/>
                <w:sz w:val="20"/>
              </w:rPr>
              <w:t>None</w:t>
            </w:r>
          </w:p>
        </w:tc>
        <w:tc>
          <w:tcPr>
            <w:tcW w:type="dxa" w:w="3380"/>
            <w:shd w:fill="FFFFFF" w:val="clear"/>
            <w:tcMar>
              <w:top w:type="dxa" w:w="80"/>
              <w:bottom w:type="dxa" w:w="80"/>
              <w:left w:type="dxa" w:w="120"/>
              <w:right w:type="dxa" w:w="120"/>
            </w:tcMar>
          </w:tcPr>
          <w:p>
            <w:r>
              <w:rPr>
                <w:rFonts w:ascii="Arial" w:cs="Arial" w:eastAsia="Arial" w:hAnsi="Arial"/>
                <w:color w:val="222222"/>
                <w:sz w:val="20"/>
              </w:rPr>
              <w:t>Full 6-agent coordination stack</w:t>
            </w:r>
          </w:p>
        </w:tc>
      </w:tr>
      <w:tr>
        <w:tc>
          <w:tcPr>
            <w:tcW w:type="dxa" w:w="2600"/>
            <w:shd w:fill="F0EDFF" w:val="clear"/>
            <w:tcMar>
              <w:top w:type="dxa" w:w="80"/>
              <w:bottom w:type="dxa" w:w="80"/>
              <w:left w:type="dxa" w:w="120"/>
              <w:right w:type="dxa" w:w="120"/>
            </w:tcMar>
          </w:tcPr>
          <w:p>
            <w:r>
              <w:rPr>
                <w:rFonts w:ascii="Arial" w:cs="Arial" w:eastAsia="Arial" w:hAnsi="Arial"/>
                <w:color w:val="222222"/>
                <w:sz w:val="20"/>
              </w:rPr>
              <w:t>Fiat integration</w:t>
            </w:r>
          </w:p>
        </w:tc>
        <w:tc>
          <w:tcPr>
            <w:tcW w:type="dxa" w:w="3380"/>
            <w:shd w:fill="F0EDFF" w:val="clear"/>
            <w:tcMar>
              <w:top w:type="dxa" w:w="80"/>
              <w:bottom w:type="dxa" w:w="80"/>
              <w:left w:type="dxa" w:w="120"/>
              <w:right w:type="dxa" w:w="120"/>
            </w:tcMar>
          </w:tcPr>
          <w:p>
            <w:r>
              <w:rPr>
                <w:rFonts w:ascii="Arial" w:cs="Arial" w:eastAsia="Arial" w:hAnsi="Arial"/>
                <w:color w:val="222222"/>
                <w:sz w:val="20"/>
              </w:rPr>
              <w:t>None</w:t>
            </w:r>
          </w:p>
        </w:tc>
        <w:tc>
          <w:tcPr>
            <w:tcW w:type="dxa" w:w="3380"/>
            <w:shd w:fill="F0EDFF" w:val="clear"/>
            <w:tcMar>
              <w:top w:type="dxa" w:w="80"/>
              <w:bottom w:type="dxa" w:w="80"/>
              <w:left w:type="dxa" w:w="120"/>
              <w:right w:type="dxa" w:w="120"/>
            </w:tcMar>
          </w:tcPr>
          <w:p>
            <w:r>
              <w:rPr>
                <w:rFonts w:ascii="Arial" w:cs="Arial" w:eastAsia="Arial" w:hAnsi="Arial"/>
                <w:color w:val="222222"/>
                <w:sz w:val="20"/>
              </w:rPr>
              <w:t>Plaid + Circle bank link (US V1)</w:t>
            </w:r>
          </w:p>
        </w:tc>
      </w:tr>
      <w:tr>
        <w:tc>
          <w:tcPr>
            <w:tcW w:type="dxa" w:w="2600"/>
            <w:shd w:fill="FFFFFF" w:val="clear"/>
            <w:tcMar>
              <w:top w:type="dxa" w:w="80"/>
              <w:bottom w:type="dxa" w:w="80"/>
              <w:left w:type="dxa" w:w="120"/>
              <w:right w:type="dxa" w:w="120"/>
            </w:tcMar>
          </w:tcPr>
          <w:p>
            <w:r>
              <w:rPr>
                <w:rFonts w:ascii="Arial" w:cs="Arial" w:eastAsia="Arial" w:hAnsi="Arial"/>
                <w:color w:val="222222"/>
                <w:sz w:val="20"/>
              </w:rPr>
              <w:t>UX model</w:t>
            </w:r>
          </w:p>
        </w:tc>
        <w:tc>
          <w:tcPr>
            <w:tcW w:type="dxa" w:w="3380"/>
            <w:shd w:fill="FFFFFF" w:val="clear"/>
            <w:tcMar>
              <w:top w:type="dxa" w:w="80"/>
              <w:bottom w:type="dxa" w:w="80"/>
              <w:left w:type="dxa" w:w="120"/>
              <w:right w:type="dxa" w:w="120"/>
            </w:tcMar>
          </w:tcPr>
          <w:p>
            <w:r>
              <w:rPr>
                <w:rFonts w:ascii="Arial" w:cs="Arial" w:eastAsia="Arial" w:hAnsi="Arial"/>
                <w:color w:val="222222"/>
                <w:sz w:val="20"/>
              </w:rPr>
              <w:t>Crypto-native only</w:t>
            </w:r>
          </w:p>
        </w:tc>
        <w:tc>
          <w:tcPr>
            <w:tcW w:type="dxa" w:w="3380"/>
            <w:shd w:fill="FFFFFF" w:val="clear"/>
            <w:tcMar>
              <w:top w:type="dxa" w:w="80"/>
              <w:bottom w:type="dxa" w:w="80"/>
              <w:left w:type="dxa" w:w="120"/>
              <w:right w:type="dxa" w:w="120"/>
            </w:tcMar>
          </w:tcPr>
          <w:p>
            <w:r>
              <w:rPr>
                <w:rFonts w:ascii="Arial" w:cs="Arial" w:eastAsia="Arial" w:hAnsi="Arial"/>
                <w:color w:val="222222"/>
                <w:sz w:val="20"/>
              </w:rPr>
              <w:t>3-mode language toggle (Everyday / Informed / Pro)</w:t>
            </w:r>
          </w:p>
        </w:tc>
      </w:tr>
      <w:tr>
        <w:tc>
          <w:tcPr>
            <w:tcW w:type="dxa" w:w="2600"/>
            <w:shd w:fill="F0EDFF" w:val="clear"/>
            <w:tcMar>
              <w:top w:type="dxa" w:w="80"/>
              <w:bottom w:type="dxa" w:w="80"/>
              <w:left w:type="dxa" w:w="120"/>
              <w:right w:type="dxa" w:w="120"/>
            </w:tcMar>
          </w:tcPr>
          <w:p>
            <w:r>
              <w:rPr>
                <w:rFonts w:ascii="Arial" w:cs="Arial" w:eastAsia="Arial" w:hAnsi="Arial"/>
                <w:color w:val="222222"/>
                <w:sz w:val="20"/>
              </w:rPr>
              <w:t>Gas fees</w:t>
            </w:r>
          </w:p>
        </w:tc>
        <w:tc>
          <w:tcPr>
            <w:tcW w:type="dxa" w:w="3380"/>
            <w:shd w:fill="F0EDFF" w:val="clear"/>
            <w:tcMar>
              <w:top w:type="dxa" w:w="80"/>
              <w:bottom w:type="dxa" w:w="80"/>
              <w:left w:type="dxa" w:w="120"/>
              <w:right w:type="dxa" w:w="120"/>
            </w:tcMar>
          </w:tcPr>
          <w:p>
            <w:r>
              <w:rPr>
                <w:rFonts w:ascii="Arial" w:cs="Arial" w:eastAsia="Arial" w:hAnsi="Arial"/>
                <w:color w:val="222222"/>
                <w:sz w:val="20"/>
              </w:rPr>
              <w:t>User pays (Monero standard)</w:t>
            </w:r>
          </w:p>
        </w:tc>
        <w:tc>
          <w:tcPr>
            <w:tcW w:type="dxa" w:w="3380"/>
            <w:shd w:fill="F0EDFF" w:val="clear"/>
            <w:tcMar>
              <w:top w:type="dxa" w:w="80"/>
              <w:bottom w:type="dxa" w:w="80"/>
              <w:left w:type="dxa" w:w="120"/>
              <w:right w:type="dxa" w:w="120"/>
            </w:tcMar>
          </w:tcPr>
          <w:p>
            <w:r>
              <w:rPr>
                <w:rFonts w:ascii="Arial" w:cs="Arial" w:eastAsia="Arial" w:hAnsi="Arial"/>
                <w:color w:val="222222"/>
                <w:sz w:val="20"/>
              </w:rPr>
              <w:t>Absorbed by platform — never charged to user</w:t>
            </w:r>
          </w:p>
        </w:tc>
      </w:tr>
      <w:tr>
        <w:tc>
          <w:tcPr>
            <w:tcW w:type="dxa" w:w="2600"/>
            <w:shd w:fill="FFFFFF" w:val="clear"/>
            <w:tcMar>
              <w:top w:type="dxa" w:w="80"/>
              <w:bottom w:type="dxa" w:w="80"/>
              <w:left w:type="dxa" w:w="120"/>
              <w:right w:type="dxa" w:w="120"/>
            </w:tcMar>
          </w:tcPr>
          <w:p>
            <w:r>
              <w:rPr>
                <w:rFonts w:ascii="Arial" w:cs="Arial" w:eastAsia="Arial" w:hAnsi="Arial"/>
                <w:color w:val="222222"/>
                <w:sz w:val="20"/>
              </w:rPr>
              <w:t>Revenue model</w:t>
            </w:r>
          </w:p>
        </w:tc>
        <w:tc>
          <w:tcPr>
            <w:tcW w:type="dxa" w:w="3380"/>
            <w:shd w:fill="FFFFFF" w:val="clear"/>
            <w:tcMar>
              <w:top w:type="dxa" w:w="80"/>
              <w:bottom w:type="dxa" w:w="80"/>
              <w:left w:type="dxa" w:w="120"/>
              <w:right w:type="dxa" w:w="120"/>
            </w:tcMar>
          </w:tcPr>
          <w:p>
            <w:r>
              <w:rPr>
                <w:rFonts w:ascii="Arial" w:cs="Arial" w:eastAsia="Arial" w:hAnsi="Arial"/>
                <w:color w:val="222222"/>
                <w:sz w:val="20"/>
              </w:rPr>
              <w:t>Not defined</w:t>
            </w:r>
          </w:p>
        </w:tc>
        <w:tc>
          <w:tcPr>
            <w:tcW w:type="dxa" w:w="3380"/>
            <w:shd w:fill="FFFFFF" w:val="clear"/>
            <w:tcMar>
              <w:top w:type="dxa" w:w="80"/>
              <w:bottom w:type="dxa" w:w="80"/>
              <w:left w:type="dxa" w:w="120"/>
              <w:right w:type="dxa" w:w="120"/>
            </w:tcMar>
          </w:tcPr>
          <w:p>
            <w:r>
              <w:rPr>
                <w:rFonts w:ascii="Arial" w:cs="Arial" w:eastAsia="Arial" w:hAnsi="Arial"/>
                <w:color w:val="222222"/>
                <w:sz w:val="20"/>
              </w:rPr>
              <w:t>Spread on trades only — disclosed, always lowest</w:t>
            </w:r>
          </w:p>
        </w:tc>
      </w:tr>
      <w:tr>
        <w:tc>
          <w:tcPr>
            <w:tcW w:type="dxa" w:w="2600"/>
            <w:shd w:fill="F0EDFF" w:val="clear"/>
            <w:tcMar>
              <w:top w:type="dxa" w:w="80"/>
              <w:bottom w:type="dxa" w:w="80"/>
              <w:left w:type="dxa" w:w="120"/>
              <w:right w:type="dxa" w:w="120"/>
            </w:tcMar>
          </w:tcPr>
          <w:p>
            <w:r>
              <w:rPr>
                <w:rFonts w:ascii="Arial" w:cs="Arial" w:eastAsia="Arial" w:hAnsi="Arial"/>
                <w:color w:val="222222"/>
                <w:sz w:val="20"/>
              </w:rPr>
              <w:t>Contacts layer</w:t>
            </w:r>
          </w:p>
        </w:tc>
        <w:tc>
          <w:tcPr>
            <w:tcW w:type="dxa" w:w="3380"/>
            <w:shd w:fill="F0EDFF" w:val="clear"/>
            <w:tcMar>
              <w:top w:type="dxa" w:w="80"/>
              <w:bottom w:type="dxa" w:w="80"/>
              <w:left w:type="dxa" w:w="120"/>
              <w:right w:type="dxa" w:w="120"/>
            </w:tcMar>
          </w:tcPr>
          <w:p>
            <w:r>
              <w:rPr>
                <w:rFonts w:ascii="Arial" w:cs="Arial" w:eastAsia="Arial" w:hAnsi="Arial"/>
                <w:color w:val="222222"/>
                <w:sz w:val="20"/>
              </w:rPr>
              <w:t>Standard address book</w:t>
            </w:r>
          </w:p>
        </w:tc>
        <w:tc>
          <w:tcPr>
            <w:tcW w:type="dxa" w:w="3380"/>
            <w:shd w:fill="F0EDFF" w:val="clear"/>
            <w:tcMar>
              <w:top w:type="dxa" w:w="80"/>
              <w:bottom w:type="dxa" w:w="80"/>
              <w:left w:type="dxa" w:w="120"/>
              <w:right w:type="dxa" w:w="120"/>
            </w:tcMar>
          </w:tcPr>
          <w:p>
            <w:r>
              <w:rPr>
                <w:rFonts w:ascii="Arial" w:cs="Arial" w:eastAsia="Arial" w:hAnsi="Arial"/>
                <w:color w:val="222222"/>
                <w:sz w:val="20"/>
              </w:rPr>
              <w:t>On-chain public contacts — user-owned, portable</w:t>
            </w:r>
          </w:p>
        </w:tc>
      </w:tr>
    </w:tbl>
    <w:p>
      <w:pPr>
        <w:spacing w:before="200" w:after="80"/>
      </w:pPr>
      <w:r>
        <w:rPr>
          <w:rFonts w:ascii="Arial" w:cs="Arial" w:eastAsia="Arial" w:hAnsi="Arial"/>
          <w:color w:val="222222"/>
          <w:sz w:val="22"/>
          <w:szCs w:val="22"/>
        </w:rPr>
        <w:t xml:space="preserve">Note on Monero: Monero remains architecturally compatible and can be added as a V2 option for users who specifically require protocol-level privacy. The decision to lead with Solana and EVM is about liquidity, DeFi ecosystem depth, and near-zero native fees — not an abandonment of privacy principles.</w:t>
      </w:r>
    </w:p>
    <w:p>
      <w:pPr>
        <w:pStyle w:val="Heading2"/>
        <w:spacing w:before="300" w:after="160"/>
      </w:pPr>
      <w:r>
        <w:rPr>
          <w:rFonts w:ascii="Arial" w:cs="Arial" w:eastAsia="Arial" w:hAnsi="Arial"/>
          <w:b/>
          <w:bCs/>
          <w:color w:val="2D1A8A"/>
          <w:sz w:val="26"/>
          <w:szCs w:val="26"/>
        </w:rPr>
        <w:t>The Vela Protocol Ecosystem Connection</w:t>
      </w:r>
    </w:p>
    <w:p>
      <w:pPr>
        <w:spacing w:before="80" w:after="80"/>
      </w:pPr>
      <w:r>
        <w:rPr>
          <w:rFonts w:ascii="Arial" w:cs="Arial" w:eastAsia="Arial" w:hAnsi="Arial"/>
          <w:color w:val="222222"/>
          <w:sz w:val="22"/>
          <w:szCs w:val="22"/>
        </w:rPr>
        <w:t>The wallet does not exist in isolation. It is part of a three-product Vela Protocol ecosystem. Each product feeds the next in terms of users, trust, and revenue.</w:t>
      </w:r>
    </w:p>
    <w:p>
      <w:pPr>
        <w:numPr>
          <w:ilvl w:val="0"/>
          <w:numId w:val="1"/>
        </w:numPr>
        <w:spacing w:before="60" w:after="60"/>
        <w:ind w:left="720" w:hanging="360"/>
      </w:pPr>
      <w:r>
        <w:rPr>
          <w:rFonts w:ascii="Arial" w:cs="Arial" w:eastAsia="Arial" w:hAnsi="Arial"/>
          <w:b/>
          <w:color w:val="2D1A8A"/>
          <w:sz w:val="22"/>
          <w:szCs w:val="22"/>
        </w:rPr>
        <w:t xml:space="preserve">Vela Protocol Search Engine </w:t>
      </w:r>
      <w:r>
        <w:rPr>
          <w:rFonts w:ascii="Arial" w:cs="Arial" w:eastAsia="Arial" w:hAnsi="Arial"/>
          <w:color w:val="222222"/>
          <w:sz w:val="22"/>
          <w:szCs w:val="22"/>
        </w:rPr>
        <w:t xml:space="preserve">— Free, privacy-first search. Builds the initial user base and establishes the brand before any product asks for money or trust. Target: 10,000 daily users before wallet launch.</w:t>
      </w:r>
    </w:p>
    <w:p>
      <w:pPr>
        <w:numPr>
          <w:ilvl w:val="0"/>
          <w:numId w:val="1"/>
        </w:numPr>
        <w:spacing w:before="60" w:after="60"/>
        <w:ind w:left="720" w:hanging="360"/>
      </w:pPr>
      <w:r>
        <w:rPr>
          <w:rFonts w:ascii="Arial" w:cs="Arial" w:eastAsia="Arial" w:hAnsi="Arial"/>
          <w:b/>
          <w:color w:val="2D1A8A"/>
          <w:sz w:val="22"/>
          <w:szCs w:val="22"/>
        </w:rPr>
        <w:t xml:space="preserve">Vela Social Assistant </w:t>
      </w:r>
      <w:r>
        <w:rPr>
          <w:rFonts w:ascii="Arial" w:cs="Arial" w:eastAsia="Arial" w:hAnsi="Arial"/>
          <w:color w:val="222222"/>
          <w:sz w:val="22"/>
          <w:szCs w:val="22"/>
        </w:rPr>
        <w:t xml:space="preserve">— First revenue product at €9/month. 300 subscribers covers wallet legal costs. 500 subscribers funds the wallet security audit. Vela subscribers are the wallet’s first early adopters — they already trust the brand.</w:t>
      </w:r>
    </w:p>
    <w:p>
      <w:pPr>
        <w:numPr>
          <w:ilvl w:val="0"/>
          <w:numId w:val="1"/>
        </w:numPr>
        <w:spacing w:before="60" w:after="60"/>
        <w:ind w:left="720" w:hanging="360"/>
      </w:pPr>
      <w:r>
        <w:rPr>
          <w:rFonts w:ascii="Arial" w:cs="Arial" w:eastAsia="Arial" w:hAnsi="Arial"/>
          <w:b/>
          <w:color w:val="2D1A8A"/>
          <w:sz w:val="22"/>
          <w:szCs w:val="22"/>
        </w:rPr>
        <w:t xml:space="preserve">Velcro Wallet </w:t>
      </w:r>
      <w:r>
        <w:rPr>
          <w:rFonts w:ascii="Arial" w:cs="Arial" w:eastAsia="Arial" w:hAnsi="Arial"/>
          <w:color w:val="222222"/>
          <w:sz w:val="22"/>
          <w:szCs w:val="22"/>
        </w:rPr>
        <w:t>— The primary long-term revenue engine. Funded by Vela, launched to the Vela Protocol search and Vela user base, secured by a proper third-party security audit before any public release.</w:t>
      </w:r>
    </w:p>
    <w:p>
      <w:pPr>
        <w:pStyle w:val="Heading2"/>
        <w:spacing w:before="300" w:after="160"/>
      </w:pPr>
      <w:r>
        <w:rPr>
          <w:rFonts w:ascii="Arial" w:cs="Arial" w:eastAsia="Arial" w:hAnsi="Arial"/>
          <w:b/>
          <w:bCs/>
          <w:color w:val="2D1A8A"/>
          <w:sz w:val="26"/>
          <w:szCs w:val="26"/>
        </w:rPr>
        <w:t xml:space="preserve">Recommended Build Sequence</w:t>
      </w:r>
    </w:p>
    <w:p>
      <w:pPr>
        <w:numPr>
          <w:ilvl w:val="0"/>
          <w:numId w:val="1"/>
        </w:numPr>
        <w:spacing w:before="60" w:after="60"/>
        <w:ind w:left="720" w:hanging="360"/>
      </w:pPr>
      <w:r>
        <w:rPr>
          <w:rFonts w:ascii="Arial" w:cs="Arial" w:eastAsia="Arial" w:hAnsi="Arial"/>
          <w:b/>
          <w:color w:val="6B4FD8"/>
          <w:sz w:val="22"/>
          <w:szCs w:val="22"/>
        </w:rPr>
        <w:t xml:space="preserve">Phase 1 — Velcro V1 as planned: </w:t>
      </w:r>
      <w:r>
        <w:rPr>
          <w:rFonts w:ascii="Arial" w:cs="Arial" w:eastAsia="Arial" w:hAnsi="Arial"/>
          <w:color w:val="222222"/>
          <w:sz w:val="22"/>
          <w:szCs w:val="22"/>
        </w:rPr>
        <w:t xml:space="preserve">Ship the core non-custodial P2P wallet on the original Velcro timeline. Basic send, receive, and P2P trade. Solana + EVM. USDC primary. No agent layer yet. This is the foundation.</w:t>
      </w:r>
    </w:p>
    <w:p>
      <w:pPr>
        <w:numPr>
          <w:ilvl w:val="0"/>
          <w:numId w:val="1"/>
        </w:numPr>
        <w:spacing w:before="60" w:after="60"/>
        <w:ind w:left="720" w:hanging="360"/>
      </w:pPr>
      <w:r>
        <w:rPr>
          <w:rFonts w:ascii="Arial" w:cs="Arial" w:eastAsia="Arial" w:hAnsi="Arial"/>
          <w:b/>
          <w:color w:val="6B4FD8"/>
          <w:sz w:val="22"/>
          <w:szCs w:val="22"/>
        </w:rPr>
        <w:t xml:space="preserve">Phase 2 — Agent layer as V1.5 upgrade: </w:t>
      </w:r>
      <w:r>
        <w:rPr>
          <w:rFonts w:ascii="Arial" w:cs="Arial" w:eastAsia="Arial" w:hAnsi="Arial"/>
          <w:color w:val="222222"/>
          <w:sz w:val="22"/>
          <w:szCs w:val="22"/>
        </w:rPr>
        <w:t xml:space="preserve">Add the Trade Safety Agent and Counterparty Intelligence Agent first. These are the highest-value, lowest-complexity additions and they directly enhance the P2P core already built.</w:t>
      </w:r>
    </w:p>
    <w:p>
      <w:pPr>
        <w:numPr>
          <w:ilvl w:val="0"/>
          <w:numId w:val="1"/>
        </w:numPr>
        <w:spacing w:before="60" w:after="60"/>
        <w:ind w:left="720" w:hanging="360"/>
      </w:pPr>
      <w:r>
        <w:rPr>
          <w:rFonts w:ascii="Arial" w:cs="Arial" w:eastAsia="Arial" w:hAnsi="Arial"/>
          <w:b/>
          <w:color w:val="6B4FD8"/>
          <w:sz w:val="22"/>
          <w:szCs w:val="22"/>
        </w:rPr>
        <w:t xml:space="preserve">Phase 3 — Full intelligence + language toggle: </w:t>
      </w:r>
      <w:r>
        <w:rPr>
          <w:rFonts w:ascii="Arial" w:cs="Arial" w:eastAsia="Arial" w:hAnsi="Arial"/>
          <w:color w:val="222222"/>
          <w:sz w:val="22"/>
          <w:szCs w:val="22"/>
        </w:rPr>
        <w:t xml:space="preserve">Market Intelligence Agent, Portfolio Intelligence Agent, Language Agent, and the full three-mode toggle. This is when the product becomes the Velcro Wallet as described in this document.</w:t>
      </w:r>
    </w:p>
    <w:p>
      <w:pPr>
        <w:numPr>
          <w:ilvl w:val="0"/>
          <w:numId w:val="1"/>
        </w:numPr>
        <w:spacing w:before="60" w:after="60"/>
        <w:ind w:left="720" w:hanging="360"/>
      </w:pPr>
      <w:r>
        <w:rPr>
          <w:rFonts w:ascii="Arial" w:cs="Arial" w:eastAsia="Arial" w:hAnsi="Arial"/>
          <w:b/>
          <w:color w:val="6B4FD8"/>
          <w:sz w:val="22"/>
          <w:szCs w:val="22"/>
        </w:rPr>
        <w:t xml:space="preserve">Phase 4 — Bank integration + pay features: </w:t>
      </w:r>
      <w:r>
        <w:rPr>
          <w:rFonts w:ascii="Arial" w:cs="Arial" w:eastAsia="Arial" w:hAnsi="Arial"/>
          <w:color w:val="222222"/>
          <w:sz w:val="22"/>
          <w:szCs w:val="22"/>
        </w:rPr>
        <w:t xml:space="preserve">Plaid + Circle bank link, P2P payments by phone and email, companion debit card via Marqeta. This is the PayPal-killer feature set and it requires the most regulatory groundwork.</w:t>
      </w:r>
    </w:p>
    <w:p>
      <w:pPr>
        <w:spacing w:before="200" w:after="80"/>
      </w:pPr>
      <w:r>
        <w:rPr>
          <w:rFonts w:ascii="Arial" w:cs="Arial" w:eastAsia="Arial" w:hAnsi="Arial"/>
          <w:color w:val="222222"/>
          <w:sz w:val="22"/>
          <w:szCs w:val="22"/>
          <w:i/>
          <w:iCs/>
        </w:rPr>
        <w:t xml:space="preserve">Security audit requirement: a proper third-party security audit (budget €8,000–15,000) must be commissioned and completed before any public release of the wallet. This is non-negotiable and should be planned and funded from Vela revenue before Phase 1 launches publicly.</w:t>
      </w:r>
    </w:p>
    <w:p>
      <w:pPr>
        <w:spacing w:before="0" w:after="240"/>
      </w:pPr>
      <w:r>
        <w:rPr>
          <w:rFonts w:ascii="Arial" w:cs="Arial" w:eastAsia="Arial" w:hAnsi="Arial"/>
          <w:sz w:val="22"/>
        </w:rPr>
        <w:t xml:space="preserve"/>
      </w:r>
    </w:p>
    <w:p>
      <w:pPr>
        <w:pStyle w:val="Heading1"/>
        <w:pBdr>
          <w:bottom w:val="single" w:color="1A3A6B" w:sz="8" w:space="4"/>
        </w:pBdr>
        <w:spacing w:before="400" w:after="200"/>
      </w:pPr>
      <w:r>
        <w:rPr>
          <w:rFonts w:ascii="Arial" w:cs="Arial" w:eastAsia="Arial" w:hAnsi="Arial"/>
          <w:b/>
          <w:bCs/>
          <w:color w:val="1B0F5E"/>
          <w:sz w:val="32"/>
          <w:szCs w:val="32"/>
        </w:rPr>
        <w:t xml:space="preserve">Document Control</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200"/>
        <w:gridCol w:w="1800"/>
        <w:gridCol w:w="2760"/>
        <w:gridCol w:w="3600"/>
      </w:tblGrid>
      <w:tr>
        <w:trPr>
          <w:tblHeader/>
        </w:trPr>
        <w:tc>
          <w:tcPr>
            <w:tcW w:type="dxa" w:w="1200"/>
            <w:tcBorders>
              <w:top w:val="single" w:color="CCCCCC" w:sz="1"/>
              <w:left w:val="single" w:color="CCCCCC" w:sz="1"/>
              <w:bottom w:val="single" w:color="CCCCCC" w:sz="1"/>
              <w:right w:val="single" w:color="CCCCCC"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Version</w:t>
            </w:r>
          </w:p>
        </w:tc>
        <w:tc>
          <w:tcPr>
            <w:tcW w:type="dxa" w:w="1800"/>
            <w:tcBorders>
              <w:top w:val="single" w:color="CCCCCC" w:sz="1"/>
              <w:left w:val="single" w:color="CCCCCC" w:sz="1"/>
              <w:bottom w:val="single" w:color="CCCCCC" w:sz="1"/>
              <w:right w:val="single" w:color="CCCCCC"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Date</w:t>
            </w:r>
          </w:p>
        </w:tc>
        <w:tc>
          <w:tcPr>
            <w:tcW w:type="dxa" w:w="2760"/>
            <w:tcBorders>
              <w:top w:val="single" w:color="CCCCCC" w:sz="1"/>
              <w:left w:val="single" w:color="CCCCCC" w:sz="1"/>
              <w:bottom w:val="single" w:color="CCCCCC" w:sz="1"/>
              <w:right w:val="single" w:color="CCCCCC"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Author</w:t>
            </w:r>
          </w:p>
        </w:tc>
        <w:tc>
          <w:tcPr>
            <w:tcW w:type="dxa" w:w="3600"/>
            <w:tcBorders>
              <w:top w:val="single" w:color="CCCCCC" w:sz="1"/>
              <w:left w:val="single" w:color="CCCCCC" w:sz="1"/>
              <w:bottom w:val="single" w:color="CCCCCC" w:sz="1"/>
              <w:right w:val="single" w:color="CCCCCC" w:sz="1"/>
            </w:tcBorders>
            <w:shd w:fill="2D1A8A"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1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0.1</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March 2026</w:t>
            </w:r>
          </w:p>
        </w:tc>
        <w:tc>
          <w:tcPr>
            <w:tcW w:type="dxa" w:w="2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Lara Stuart Mueller</w:t>
            </w:r>
          </w:p>
        </w:tc>
        <w:tc>
          <w:tcPr>
            <w:tcW w:type="dxa" w:w="36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r>
              <w:rPr>
                <w:rFonts w:ascii="Arial" w:cs="Arial" w:eastAsia="Arial" w:hAnsi="Arial"/>
                <w:color w:val="222222"/>
                <w:sz w:val="20"/>
                <w:szCs w:val="20"/>
              </w:rPr>
              <w:t xml:space="preserve">Initial master document — compiled from product design sessions. Core architecture, agent stack, business model, V1 scope, deferred features.</w:t>
            </w:r>
          </w:p>
        </w:tc>
      </w:tr>
      <w:tr>
        <w:tc>
          <w:tcPr>
            <w:tcW w:type="dxa" w:w="12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
            </w:r>
          </w:p>
        </w:tc>
        <w:tc>
          <w:tcPr>
            <w:tcW w:type="dxa" w:w="18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
            </w:r>
          </w:p>
        </w:tc>
        <w:tc>
          <w:tcPr>
            <w:tcW w:type="dxa" w:w="276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
            </w:r>
          </w:p>
        </w:tc>
        <w:tc>
          <w:tcPr>
            <w:tcW w:type="dxa" w:w="3600"/>
            <w:tcBorders>
              <w:top w:val="single" w:color="CCCCCC" w:sz="1"/>
              <w:left w:val="single" w:color="CCCCCC" w:sz="1"/>
              <w:bottom w:val="single" w:color="CCCCCC" w:sz="1"/>
              <w:right w:val="single" w:color="CCCCCC" w:sz="1"/>
            </w:tcBorders>
            <w:shd w:fill="F0EDFF" w:val="clear"/>
            <w:tcMar>
              <w:top w:type="dxa" w:w="80"/>
              <w:left w:type="dxa" w:w="120"/>
              <w:bottom w:type="dxa" w:w="80"/>
              <w:right w:type="dxa" w:w="120"/>
            </w:tcMar>
          </w:tcPr>
          <w:p>
            <w:r>
              <w:rPr>
                <w:rFonts w:ascii="Arial" w:cs="Arial" w:eastAsia="Arial" w:hAnsi="Arial"/>
                <w:color w:val="222222"/>
                <w:sz w:val="20"/>
                <w:szCs w:val="20"/>
              </w:rPr>
              <w:t xml:space="preserve"/>
            </w:r>
          </w:p>
        </w:tc>
      </w:tr>
    </w:tbl>
    <w:p>
      <w:pPr>
        <w:spacing w:before="0" w:after="120"/>
      </w:pPr>
      <w:r>
        <w:t xml:space="preserve"/>
      </w:r>
    </w:p>
    <w:p>
      <w:pPr>
        <w:spacing w:before="80" w:after="80"/>
      </w:pPr>
      <w:r>
        <w:rPr>
          <w:rFonts w:ascii="Arial" w:cs="Arial" w:eastAsia="Arial" w:hAnsi="Arial"/>
          <w:i/>
          <w:iCs/>
          <w:color w:val="222222"/>
          <w:sz w:val="22"/>
          <w:szCs w:val="22"/>
        </w:rPr>
        <w:t xml:space="preserve">This document is a living reference. Every pinned decision, deferred feature, and founding principle recorded here should be treated as binding unless explicitly revisited and updated with version notation.</w:t>
      </w:r>
    </w:p>
    <w:p>
      <w:pPr>
        <w:spacing w:before="0" w:after="120"/>
      </w:pPr>
      <w:r>
        <w:t xml:space="preserve"/>
      </w:r>
    </w:p>
    <w:p>
      <w:r>
        <w:br w:type="page"/>
      </w:r>
    </w:p>
    <w:p>
      <w:pPr>
        <w:spacing w:before="2000"/>
        <w:jc w:val="center"/>
      </w:pPr>
      <w:r>
        <w:rPr>
          <w:rFonts w:ascii="Arial" w:cs="Arial" w:eastAsia="Arial" w:hAnsi="Arial"/>
          <w:color w:val="AAAAAA"/>
          <w:sz w:val="18"/>
          <w:szCs w:val="18"/>
        </w:rPr>
        <w:t xml:space="preserve">CONFIDENTIAL</w:t>
      </w:r>
    </w:p>
    <w:p>
      <w:pPr>
        <w:jc w:val="center"/>
      </w:pPr>
      <w:r>
        <w:rPr>
          <w:rFonts w:ascii="Arial" w:cs="Arial" w:eastAsia="Arial" w:hAnsi="Arial"/>
          <w:color w:val="AAAAAA"/>
          <w:sz w:val="18"/>
          <w:szCs w:val="18"/>
        </w:rPr>
        <w:t xml:space="preserve">loveconcursall — All Rights Reserved</w:t>
      </w:r>
    </w:p>
    <w:p>
      <w:r>
        <w:br w:type="page"/>
      </w:r>
    </w:p>
    <w:p>
      <w:pPr>
        <w:spacing w:after="200" w:before="400"/>
      </w:pPr>
      <w:r>
        <w:rPr>
          <w:rFonts w:ascii="Arial" w:cs="Arial" w:eastAsia="Arial" w:hAnsi="Arial"/>
          <w:b/>
          <w:bCs/>
          <w:color w:val="1B0F5E"/>
          <w:sz w:val="32"/>
          <w:szCs w:val="32"/>
        </w:rPr>
        <w:t xml:space="preserve">Phase 3 — Merchant Network, Tap-to-Pay &amp; Protocol Expansion</w:t>
      </w:r>
    </w:p>
    <w:p>
      <w:pPr>
        <w:spacing w:after="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9360"/>
      </w:tblGrid>
      <w:tr>
        <w:tc>
          <w:tcPr>
            <w:tcW w:type="dxa" w:w="9360"/>
            <w:tcBorders>
              <w:top w:val="none" w:color="FFFFFF" w:sz="0"/>
              <w:left w:val="single" w:color="4B2FB8" w:sz="14"/>
              <w:bottom w:val="none" w:color="FFFFFF" w:sz="0"/>
              <w:right w:val="none" w:color="FFFFFF" w:sz="0"/>
            </w:tcBorders>
            <w:shd w:fill="F5F3FF" w:val="clear"/>
            <w:tcMar>
              <w:top w:type="dxa" w:w="100"/>
              <w:left w:type="dxa" w:w="200"/>
              <w:bottom w:type="dxa" w:w="100"/>
              <w:right w:type="dxa" w:w="120"/>
            </w:tcMar>
          </w:tcPr>
          <w:p>
            <w:pPr>
              <w:spacing w:after="40"/>
            </w:pPr>
            <w:r>
              <w:rPr>
                <w:rFonts w:ascii="Arial" w:cs="Arial" w:eastAsia="Arial" w:hAnsi="Arial"/>
                <w:b/>
                <w:bCs/>
                <w:color w:val="4B2FB8"/>
                <w:sz w:val="19"/>
                <w:szCs w:val="19"/>
              </w:rPr>
              <w:t xml:space="preserve">Vision</w:t>
            </w:r>
          </w:p>
          <w:p>
            <w:pPr>
              <w:spacing w:after="0"/>
            </w:pPr>
            <w:r>
              <w:rPr>
                <w:rFonts w:ascii="Arial" w:cs="Arial" w:eastAsia="Arial" w:hAnsi="Arial"/>
                <w:i/>
                <w:iCs/>
                <w:color w:val="444444"/>
                <w:sz w:val="19"/>
                <w:szCs w:val="19"/>
              </w:rPr>
              <w:t xml:space="preserve">Velcro V1 and V2 build the wallet. Phase 3 builds the network. This is the transition from a personal financial tool to a global payment protocol — one that serves merchants, institutions, and the 2.6 billion people the current financial system has never reached.</w:t>
            </w:r>
          </w:p>
        </w:tc>
      </w:tr>
    </w:tbl>
    <w:p>
      <w:pPr>
        <w:spacing w:after="0"/>
      </w:pPr>
      <w:r>
        <w:t xml:space="preserve"/>
      </w:r>
    </w:p>
    <w:p>
      <w:pPr>
        <w:spacing w:after="120"/>
      </w:pPr>
      <w:r>
        <w:rPr>
          <w:rFonts w:ascii="Arial" w:cs="Arial" w:eastAsia="Arial" w:hAnsi="Arial"/>
          <w:color w:val="333333"/>
          <w:sz w:val="20"/>
          <w:szCs w:val="20"/>
        </w:rPr>
        <w:t xml:space="preserve">Phase 3 is not a pivot. It is the natural evolution of what Velcro is already building. The non-custodial architecture, the AI agent stack, the language toggle, and the on-chain contacts layer are all foundational infrastructure that Phase 3 expands outward into the physical world and into institutional finance.</w:t>
      </w:r>
    </w:p>
    <w:p>
      <w:pPr>
        <w:spacing w:after="0"/>
      </w:pPr>
      <w:r>
        <w:t xml:space="preserve"/>
      </w:r>
    </w:p>
    <w:p>
      <w:pPr>
        <w:spacing w:after="120" w:before="280"/>
      </w:pPr>
      <w:r>
        <w:rPr>
          <w:rFonts w:ascii="Arial" w:cs="Arial" w:eastAsia="Arial" w:hAnsi="Arial"/>
          <w:b/>
          <w:bCs/>
          <w:color w:val="2D1A8A"/>
          <w:sz w:val="24"/>
          <w:szCs w:val="24"/>
        </w:rPr>
        <w:t xml:space="preserve">NFC Tap-to-Pay — Contactless Crypto at Point of Sale</w:t>
      </w:r>
    </w:p>
    <w:p>
      <w:pPr>
        <w:spacing w:after="0"/>
      </w:pPr>
      <w:r>
        <w:t xml:space="preserve"/>
      </w:r>
    </w:p>
    <w:p>
      <w:pPr>
        <w:spacing w:after="120"/>
      </w:pPr>
      <w:r>
        <w:rPr>
          <w:rFonts w:ascii="Arial" w:cs="Arial" w:eastAsia="Arial" w:hAnsi="Arial"/>
          <w:color w:val="333333"/>
          <w:sz w:val="20"/>
          <w:szCs w:val="20"/>
        </w:rPr>
        <w:t xml:space="preserve">Phase 3 introduces native NFC tap-to-pay functionality, enabling Velcro users to make contactless crypto payments at any compatible point-of-sale terminal. This closes the last gap between crypto wallets and everyday commerce — matching the experience of tapping a debit card, with full non-custodial sovereignty underneath.</w:t>
      </w:r>
    </w:p>
    <w:p>
      <w:pPr>
        <w:spacing w:after="0"/>
      </w:pPr>
      <w:r>
        <w:t xml:space="preserve"/>
      </w:r>
    </w:p>
    <w:p>
      <w:pPr>
        <w:spacing w:after="120"/>
      </w:pPr>
      <w:r>
        <w:rPr>
          <w:rFonts w:ascii="Arial" w:cs="Arial" w:eastAsia="Arial" w:hAnsi="Arial"/>
          <w:color w:val="333333"/>
          <w:sz w:val="20"/>
          <w:szCs w:val="20"/>
        </w:rPr>
        <w:t xml:space="preserve">The technical architecture achieves sub-500ms authorization:</w:t>
      </w:r>
    </w:p>
    <w:p>
      <w:pPr>
        <w:spacing w:after="0"/>
      </w:pPr>
      <w:r>
        <w:t xml:space="preserve"/>
      </w:r>
    </w:p>
    <w:tbl>
      <w:tblPr>
        <w:tblW w:type="dxa" w:w="9360"/>
        <w:tblBorders>
          <w:top w:val="single" w:color="CCCCCC" w:sz="1"/>
          <w:left w:val="single" w:color="CCCCCC" w:sz="1"/>
          <w:bottom w:val="single" w:color="CCCCCC" w:sz="1"/>
          <w:right w:val="single" w:color="CCCCCC" w:sz="1"/>
          <w:insideH w:val="single" w:color="auto" w:sz="4"/>
          <w:insideV w:val="single" w:color="auto" w:sz="4"/>
        </w:tblBorders>
      </w:tblPr>
      <w:tblGrid>
        <w:gridCol w:w="2200"/>
        <w:gridCol w:w="5160"/>
        <w:gridCol w:w="2000"/>
      </w:tblGrid>
      <w:tr>
        <w:tc>
          <w:tcPr>
            <w:tcW w:type="dxa" w:w="2200"/>
            <w:tcBorders>
              <w:top w:val="single" w:color="CCCCCC" w:sz="1"/>
              <w:left w:val="single" w:color="CCCCCC" w:sz="1"/>
              <w:bottom w:val="single" w:color="CCCCCC" w:sz="1"/>
              <w:right w:val="single" w:color="CCCCCC" w:sz="1"/>
            </w:tcBorders>
            <w:shd w:fill="1B0F5E" w:val="clear"/>
            <w:tcMar>
              <w:top w:type="dxa" w:w="80"/>
              <w:left w:type="dxa" w:w="120"/>
              <w:bottom w:type="dxa" w:w="80"/>
              <w:right w:type="dxa" w:w="120"/>
            </w:tcMar>
          </w:tcPr>
          <w:p>
            <w:pPr>
              <w:spacing w:after="0"/>
            </w:pPr>
            <w:r>
              <w:rPr>
                <w:rFonts w:ascii="Arial" w:cs="Arial" w:eastAsia="Arial" w:hAnsi="Arial"/>
                <w:b/>
                <w:bCs/>
                <w:color w:val="FFFFFF"/>
                <w:sz w:val="19"/>
                <w:szCs w:val="19"/>
              </w:rPr>
              <w:t xml:space="preserve">Step</w:t>
            </w:r>
          </w:p>
        </w:tc>
        <w:tc>
          <w:tcPr>
            <w:tcW w:type="dxa" w:w="5160"/>
            <w:tcBorders>
              <w:top w:val="single" w:color="CCCCCC" w:sz="1"/>
              <w:left w:val="single" w:color="CCCCCC" w:sz="1"/>
              <w:bottom w:val="single" w:color="CCCCCC" w:sz="1"/>
              <w:right w:val="single" w:color="CCCCCC" w:sz="1"/>
            </w:tcBorders>
            <w:shd w:fill="1B0F5E" w:val="clear"/>
            <w:tcMar>
              <w:top w:type="dxa" w:w="80"/>
              <w:left w:type="dxa" w:w="120"/>
              <w:bottom w:type="dxa" w:w="80"/>
              <w:right w:type="dxa" w:w="120"/>
            </w:tcMar>
          </w:tcPr>
          <w:p>
            <w:pPr>
              <w:spacing w:after="0"/>
            </w:pPr>
            <w:r>
              <w:rPr>
                <w:rFonts w:ascii="Arial" w:cs="Arial" w:eastAsia="Arial" w:hAnsi="Arial"/>
                <w:b/>
                <w:bCs/>
                <w:color w:val="FFFFFF"/>
                <w:sz w:val="19"/>
                <w:szCs w:val="19"/>
              </w:rPr>
              <w:t xml:space="preserve">Action</w:t>
            </w:r>
          </w:p>
        </w:tc>
        <w:tc>
          <w:tcPr>
            <w:tcW w:type="dxa" w:w="2000"/>
            <w:tcBorders>
              <w:top w:val="single" w:color="CCCCCC" w:sz="1"/>
              <w:left w:val="single" w:color="CCCCCC" w:sz="1"/>
              <w:bottom w:val="single" w:color="CCCCCC" w:sz="1"/>
              <w:right w:val="single" w:color="CCCCCC" w:sz="1"/>
            </w:tcBorders>
            <w:shd w:fill="1B0F5E" w:val="clear"/>
            <w:tcMar>
              <w:top w:type="dxa" w:w="80"/>
              <w:left w:type="dxa" w:w="120"/>
              <w:bottom w:type="dxa" w:w="80"/>
              <w:right w:type="dxa" w:w="120"/>
            </w:tcMar>
          </w:tcPr>
          <w:p>
            <w:pPr>
              <w:spacing w:after="0"/>
            </w:pPr>
            <w:r>
              <w:rPr>
                <w:rFonts w:ascii="Arial" w:cs="Arial" w:eastAsia="Arial" w:hAnsi="Arial"/>
                <w:b/>
                <w:bCs/>
                <w:color w:val="FFFFFF"/>
                <w:sz w:val="19"/>
                <w:szCs w:val="19"/>
              </w:rPr>
              <w:t xml:space="preserve">Latency</w:t>
            </w:r>
          </w:p>
        </w:tc>
      </w:tr>
      <w:tr>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bCs/>
                <w:color w:val="2D1A8A"/>
                <w:sz w:val="19"/>
                <w:szCs w:val="19"/>
              </w:rPr>
              <w:t xml:space="preserve">1 — Device Tap</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User’s wallet generates a one-time ECDSA-signed payload, transmitted via NFC</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&lt; 50ms</w:t>
            </w:r>
          </w:p>
        </w:tc>
      </w:tr>
      <w:tr>
        <w:tc>
          <w:tcPr>
            <w:tcW w:type="dxa" w:w="22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bCs/>
                <w:color w:val="2D1A8A"/>
                <w:sz w:val="19"/>
                <w:szCs w:val="19"/>
              </w:rPr>
              <w:t xml:space="preserve">2 — Gateway Verify</w:t>
            </w:r>
          </w:p>
        </w:tc>
        <w:tc>
          <w:tcPr>
            <w:tcW w:type="dxa" w:w="516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POS terminal forwards to Velcro Gateway for signature + balance verification</w:t>
            </w:r>
          </w:p>
        </w:tc>
        <w:tc>
          <w:tcPr>
            <w:tcW w:type="dxa" w:w="20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50–150ms</w:t>
            </w:r>
          </w:p>
        </w:tc>
      </w:tr>
      <w:tr>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bCs/>
                <w:color w:val="2D1A8A"/>
                <w:sz w:val="19"/>
                <w:szCs w:val="19"/>
              </w:rPr>
              <w:t xml:space="preserve">3 — Meta-Tx Route</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Gateway routes gasless meta-transaction to relayer network. User pays zero gas.</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100–150ms</w:t>
            </w:r>
          </w:p>
        </w:tc>
      </w:tr>
      <w:tr>
        <w:tc>
          <w:tcPr>
            <w:tcW w:type="dxa" w:w="22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bCs/>
                <w:color w:val="2D1A8A"/>
                <w:sz w:val="19"/>
                <w:szCs w:val="19"/>
              </w:rPr>
              <w:t xml:space="preserve">4 — Confirmation</w:t>
            </w:r>
          </w:p>
        </w:tc>
        <w:tc>
          <w:tcPr>
            <w:tcW w:type="dxa" w:w="516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POS terminal receives approval. Payment complete.</w:t>
            </w:r>
          </w:p>
        </w:tc>
        <w:tc>
          <w:tcPr>
            <w:tcW w:type="dxa" w:w="20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~400ms total</w:t>
            </w:r>
          </w:p>
        </w:tc>
      </w:tr>
      <w:tr>
        <w:tc>
          <w:tcPr>
            <w:tcW w:type="dxa" w:w="22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bCs/>
                <w:color w:val="2D1A8A"/>
                <w:sz w:val="19"/>
                <w:szCs w:val="19"/>
              </w:rPr>
              <w:t xml:space="preserve">5 — Settlement</w:t>
            </w:r>
          </w:p>
        </w:tc>
        <w:tc>
          <w:tcPr>
            <w:tcW w:type="dxa" w:w="51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Transaction batched and anchored to L1 asynchronously. Full cryptographic finality.</w:t>
            </w:r>
          </w:p>
        </w:tc>
        <w:tc>
          <w:tcPr>
            <w:tcW w:type="dxa" w:w="20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Async</w:t>
            </w:r>
          </w:p>
        </w:tc>
      </w:tr>
    </w:tbl>
    <w:p>
      <w:pPr>
        <w:spacing w:after="0"/>
      </w:pPr>
      <w:r>
        <w:t xml:space="preserve"/>
      </w:r>
    </w:p>
    <w:p>
      <w:pPr>
        <w:spacing w:after="120"/>
      </w:pPr>
      <w:r>
        <w:rPr>
          <w:rFonts w:ascii="Arial" w:cs="Arial" w:eastAsia="Arial" w:hAnsi="Arial"/>
          <w:color w:val="333333"/>
          <w:sz w:val="20"/>
          <w:szCs w:val="20"/>
        </w:rPr>
        <w:t xml:space="preserve">The user never touches gas. Fee sponsorship is handled by the relayer network. The merchant receives settlement in their preferred asset. Private keys never leave the user’s device at any point in the authorization chain.</w:t>
      </w:r>
    </w:p>
    <w:p>
      <w:pPr>
        <w:spacing w:after="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9360"/>
      </w:tblGrid>
      <w:tr>
        <w:tc>
          <w:tcPr>
            <w:tcW w:type="dxa" w:w="9360"/>
            <w:tcBorders>
              <w:top w:val="none" w:color="FFFFFF" w:sz="0"/>
              <w:left w:val="single" w:color="6B4FD8" w:sz="14"/>
              <w:bottom w:val="none" w:color="FFFFFF" w:sz="0"/>
              <w:right w:val="none" w:color="FFFFFF" w:sz="0"/>
            </w:tcBorders>
            <w:shd w:fill="F5F3FF" w:val="clear"/>
            <w:tcMar>
              <w:top w:type="dxa" w:w="100"/>
              <w:left w:type="dxa" w:w="200"/>
              <w:bottom w:type="dxa" w:w="100"/>
              <w:right w:type="dxa" w:w="120"/>
            </w:tcMar>
          </w:tcPr>
          <w:p>
            <w:pPr>
              <w:spacing w:after="40"/>
            </w:pPr>
            <w:r>
              <w:rPr>
                <w:rFonts w:ascii="Arial" w:cs="Arial" w:eastAsia="Arial" w:hAnsi="Arial"/>
                <w:b/>
                <w:bCs/>
                <w:color w:val="6B4FD8"/>
                <w:sz w:val="19"/>
                <w:szCs w:val="19"/>
              </w:rPr>
              <w:t xml:space="preserve">Latency Benchmark</w:t>
            </w:r>
          </w:p>
          <w:p>
            <w:pPr>
              <w:spacing w:after="0"/>
            </w:pPr>
            <w:r>
              <w:rPr>
                <w:rFonts w:ascii="Arial" w:cs="Arial" w:eastAsia="Arial" w:hAnsi="Arial"/>
                <w:i/>
                <w:iCs/>
                <w:color w:val="444444"/>
                <w:sz w:val="19"/>
                <w:szCs w:val="19"/>
              </w:rPr>
              <w:t xml:space="preserve">Velcro tap-to-pay: ~400ms. Visa/Mastercard: ~250ms. Layer-2 wallet: 2–5 seconds. Layer-1 on-chain: 6–60 seconds. Velcro matches card-network responsiveness while preserving full decentralization and user custody.</w:t>
            </w:r>
          </w:p>
        </w:tc>
      </w:tr>
    </w:tbl>
    <w:p>
      <w:pPr>
        <w:spacing w:after="0"/>
      </w:pPr>
      <w:r>
        <w:t xml:space="preserve"/>
      </w:r>
    </w:p>
    <w:p>
      <w:pPr>
        <w:spacing w:after="120" w:before="280"/>
      </w:pPr>
      <w:r>
        <w:rPr>
          <w:rFonts w:ascii="Arial" w:cs="Arial" w:eastAsia="Arial" w:hAnsi="Arial"/>
          <w:b/>
          <w:bCs/>
          <w:color w:val="2D1A8A"/>
          <w:sz w:val="24"/>
          <w:szCs w:val="24"/>
        </w:rPr>
        <w:t xml:space="preserve">Merchant Network &amp; POS Integration</w:t>
      </w:r>
    </w:p>
    <w:p>
      <w:pPr>
        <w:spacing w:after="0"/>
      </w:pPr>
      <w:r>
        <w:t xml:space="preserve"/>
      </w:r>
    </w:p>
    <w:p>
      <w:pPr>
        <w:spacing w:after="120"/>
      </w:pPr>
      <w:r>
        <w:rPr>
          <w:rFonts w:ascii="Arial" w:cs="Arial" w:eastAsia="Arial" w:hAnsi="Arial"/>
          <w:color w:val="333333"/>
          <w:sz w:val="20"/>
          <w:szCs w:val="20"/>
        </w:rPr>
        <w:t xml:space="preserve">The Velcro Merchant Network is an open protocol layer that enables any merchant — from a street vendor in Nairobi to a retail chain in Zurich — to accept crypto payments via Velcro with no specialized hardware beyond an NFC-capable device.</w:t>
      </w:r>
    </w:p>
    <w:p>
      <w:pPr>
        <w:spacing w:after="0"/>
      </w:pPr>
      <w:r>
        <w:t xml:space="preserve"/>
      </w:r>
    </w:p>
    <w:p>
      <w:pPr>
        <w:pStyle w:val="ListParagraph"/>
        <w:numPr>
          <w:ilvl w:val="0"/>
          <w:numId w:val="2"/>
        </w:numPr>
        <w:spacing w:after="80"/>
      </w:pPr>
      <w:r>
        <w:rPr>
          <w:rFonts w:ascii="Arial" w:cs="Arial" w:eastAsia="Arial" w:hAnsi="Arial"/>
          <w:color w:val="333333"/>
          <w:sz w:val="20"/>
          <w:szCs w:val="20"/>
        </w:rPr>
        <w:t xml:space="preserve">Velcro Merchant SDK — open source, MIT licensed. Any POS system integrates in hours, not weeks.</w:t>
      </w:r>
    </w:p>
    <w:p>
      <w:pPr>
        <w:pStyle w:val="ListParagraph"/>
        <w:numPr>
          <w:ilvl w:val="0"/>
          <w:numId w:val="2"/>
        </w:numPr>
        <w:spacing w:after="80"/>
      </w:pPr>
      <w:r>
        <w:rPr>
          <w:rFonts w:ascii="Arial" w:cs="Arial" w:eastAsia="Arial" w:hAnsi="Arial"/>
          <w:color w:val="333333"/>
          <w:sz w:val="20"/>
          <w:szCs w:val="20"/>
        </w:rPr>
        <w:t xml:space="preserve">White-label API — enterprise merchants and payment processors build Velcro settlement into existing infrastructure.</w:t>
      </w:r>
    </w:p>
    <w:p>
      <w:pPr>
        <w:pStyle w:val="ListParagraph"/>
        <w:numPr>
          <w:ilvl w:val="0"/>
          <w:numId w:val="2"/>
        </w:numPr>
        <w:spacing w:after="80"/>
      </w:pPr>
      <w:r>
        <w:rPr>
          <w:rFonts w:ascii="Arial" w:cs="Arial" w:eastAsia="Arial" w:hAnsi="Arial"/>
          <w:color w:val="333333"/>
          <w:sz w:val="20"/>
          <w:szCs w:val="20"/>
        </w:rPr>
        <w:t xml:space="preserve">Velcro Merchant App — standalone mobile app for small merchants. Accept payment, view settlement, manage preferences.</w:t>
      </w:r>
    </w:p>
    <w:p>
      <w:pPr>
        <w:pStyle w:val="ListParagraph"/>
        <w:numPr>
          <w:ilvl w:val="0"/>
          <w:numId w:val="2"/>
        </w:numPr>
        <w:spacing w:after="80"/>
      </w:pPr>
      <w:r>
        <w:rPr>
          <w:rFonts w:ascii="Arial" w:cs="Arial" w:eastAsia="Arial" w:hAnsi="Arial"/>
          <w:color w:val="333333"/>
          <w:sz w:val="20"/>
          <w:szCs w:val="20"/>
        </w:rPr>
        <w:t xml:space="preserve">Multi-asset settlement — merchants receive in USDC, local currency equivalent, or any supported asset. No forced crypto exposure.</w:t>
      </w:r>
    </w:p>
    <w:p>
      <w:pPr>
        <w:pStyle w:val="ListParagraph"/>
        <w:numPr>
          <w:ilvl w:val="0"/>
          <w:numId w:val="2"/>
        </w:numPr>
        <w:spacing w:after="80"/>
      </w:pPr>
      <w:r>
        <w:rPr>
          <w:rFonts w:ascii="Arial" w:cs="Arial" w:eastAsia="Arial" w:hAnsi="Arial"/>
          <w:color w:val="333333"/>
          <w:sz w:val="20"/>
          <w:szCs w:val="20"/>
        </w:rPr>
        <w:t xml:space="preserve">Instant settlement — funds available within seconds of authorization. Not T+2 banking days.</w:t>
      </w:r>
    </w:p>
    <w:p>
      <w:pPr>
        <w:spacing w:after="0"/>
      </w:pPr>
      <w:r>
        <w:t xml:space="preserve"/>
      </w:r>
    </w:p>
    <w:p>
      <w:pPr>
        <w:spacing w:after="120"/>
      </w:pPr>
      <w:r>
        <w:rPr>
          <w:rFonts w:ascii="Arial" w:cs="Arial" w:eastAsia="Arial" w:hAnsi="Arial"/>
          <w:color w:val="333333"/>
          <w:sz w:val="20"/>
          <w:szCs w:val="20"/>
        </w:rPr>
        <w:t xml:space="preserve">Phase 3 merchant adoption target: 10,000 active merchants within 12 months of NFC launch.</w:t>
      </w:r>
    </w:p>
    <w:p>
      <w:pPr>
        <w:spacing w:after="0"/>
      </w:pPr>
      <w:r>
        <w:t xml:space="preserve"/>
      </w:r>
    </w:p>
    <w:p>
      <w:pPr>
        <w:spacing w:after="120" w:before="280"/>
      </w:pPr>
      <w:r>
        <w:rPr>
          <w:rFonts w:ascii="Arial" w:cs="Arial" w:eastAsia="Arial" w:hAnsi="Arial"/>
          <w:b/>
          <w:bCs/>
          <w:color w:val="2D1A8A"/>
          <w:sz w:val="24"/>
          <w:szCs w:val="24"/>
        </w:rPr>
        <w:t xml:space="preserve">VLCR Governance Token &amp; DAO — Protocol Decentralization</w:t>
      </w:r>
    </w:p>
    <w:p>
      <w:pPr>
        <w:spacing w:after="0"/>
      </w:pPr>
      <w:r>
        <w:t xml:space="preserve"/>
      </w:r>
    </w:p>
    <w:p>
      <w:pPr>
        <w:spacing w:after="120"/>
      </w:pPr>
      <w:r>
        <w:rPr>
          <w:rFonts w:ascii="Arial" w:cs="Arial" w:eastAsia="Arial" w:hAnsi="Arial"/>
          <w:color w:val="333333"/>
          <w:sz w:val="20"/>
          <w:szCs w:val="20"/>
        </w:rPr>
        <w:t xml:space="preserve">Phase 3 introduces the VLCR governance token and the Velcro DAO — the mechanism by which Velcro transitions from a company-operated product to a community-governed protocol. This is the civil rights architecture applied at the organizational level: no single entity controls the protocol, including loveconcursall.</w:t>
      </w:r>
    </w:p>
    <w:p>
      <w:pPr>
        <w:spacing w:after="0"/>
      </w:pPr>
      <w:r>
        <w:t xml:space="preserve"/>
      </w:r>
    </w:p>
    <w:tbl>
      <w:tblPr>
        <w:tblW w:type="dxa" w:w="9360"/>
        <w:tblBorders>
          <w:top w:val="single" w:color="CCCCCC" w:sz="1"/>
          <w:left w:val="single" w:color="CCCCCC" w:sz="1"/>
          <w:bottom w:val="single" w:color="CCCCCC" w:sz="1"/>
          <w:right w:val="single" w:color="CCCCCC" w:sz="1"/>
          <w:insideH w:val="single" w:color="auto" w:sz="4"/>
          <w:insideV w:val="single" w:color="auto" w:sz="4"/>
        </w:tblBorders>
      </w:tblPr>
      <w:tblGrid>
        <w:gridCol w:w="3500"/>
        <w:gridCol w:w="5860"/>
      </w:tblGrid>
      <w:tr>
        <w:tc>
          <w:tcPr>
            <w:tcW w:type="dxa" w:w="3500"/>
            <w:tcBorders>
              <w:top w:val="single" w:color="CCCCCC" w:sz="1"/>
              <w:left w:val="single" w:color="CCCCCC" w:sz="1"/>
              <w:bottom w:val="single" w:color="CCCCCC" w:sz="1"/>
              <w:right w:val="single" w:color="CCCCCC" w:sz="1"/>
            </w:tcBorders>
            <w:shd w:fill="1B0F5E" w:val="clear"/>
            <w:tcMar>
              <w:top w:type="dxa" w:w="80"/>
              <w:left w:type="dxa" w:w="120"/>
              <w:bottom w:type="dxa" w:w="80"/>
              <w:right w:type="dxa" w:w="120"/>
            </w:tcMar>
          </w:tcPr>
          <w:p>
            <w:pPr>
              <w:spacing w:after="0"/>
            </w:pPr>
            <w:r>
              <w:rPr>
                <w:rFonts w:ascii="Arial" w:cs="Arial" w:eastAsia="Arial" w:hAnsi="Arial"/>
                <w:b/>
                <w:bCs/>
                <w:color w:val="FFFFFF"/>
                <w:sz w:val="19"/>
                <w:szCs w:val="19"/>
              </w:rPr>
              <w:t xml:space="preserve">Parameter</w:t>
            </w:r>
          </w:p>
        </w:tc>
        <w:tc>
          <w:tcPr>
            <w:tcW w:type="dxa" w:w="5860"/>
            <w:tcBorders>
              <w:top w:val="single" w:color="CCCCCC" w:sz="1"/>
              <w:left w:val="single" w:color="CCCCCC" w:sz="1"/>
              <w:bottom w:val="single" w:color="CCCCCC" w:sz="1"/>
              <w:right w:val="single" w:color="CCCCCC" w:sz="1"/>
            </w:tcBorders>
            <w:shd w:fill="1B0F5E" w:val="clear"/>
            <w:tcMar>
              <w:top w:type="dxa" w:w="80"/>
              <w:left w:type="dxa" w:w="120"/>
              <w:bottom w:type="dxa" w:w="80"/>
              <w:right w:type="dxa" w:w="120"/>
            </w:tcMar>
          </w:tcPr>
          <w:p>
            <w:pPr>
              <w:spacing w:after="0"/>
            </w:pPr>
            <w:r>
              <w:rPr>
                <w:rFonts w:ascii="Arial" w:cs="Arial" w:eastAsia="Arial" w:hAnsi="Arial"/>
                <w:b/>
                <w:bCs/>
                <w:color w:val="FFFFFF"/>
                <w:sz w:val="19"/>
                <w:szCs w:val="19"/>
              </w:rPr>
              <w:t xml:space="preserve">Value</w:t>
            </w:r>
          </w:p>
        </w:tc>
      </w:tr>
      <w:tr>
        <w:tc>
          <w:tcPr>
            <w:tcW w:type="dxa" w:w="3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bCs/>
                <w:color w:val="2D1A8A"/>
                <w:sz w:val="19"/>
                <w:szCs w:val="19"/>
              </w:rPr>
              <w:t xml:space="preserve">Token name</w:t>
            </w:r>
          </w:p>
        </w:tc>
        <w:tc>
          <w:tcPr>
            <w:tcW w:type="dxa" w:w="58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VLCR</w:t>
            </w:r>
          </w:p>
        </w:tc>
      </w:tr>
      <w:tr>
        <w:tc>
          <w:tcPr>
            <w:tcW w:type="dxa" w:w="35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bCs/>
                <w:color w:val="2D1A8A"/>
                <w:sz w:val="19"/>
                <w:szCs w:val="19"/>
              </w:rPr>
              <w:t xml:space="preserve">Total supply</w:t>
            </w:r>
          </w:p>
        </w:tc>
        <w:tc>
          <w:tcPr>
            <w:tcW w:type="dxa" w:w="586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1,000,000,000 VLCR — fixed, no further minting</w:t>
            </w:r>
          </w:p>
        </w:tc>
      </w:tr>
      <w:tr>
        <w:tc>
          <w:tcPr>
            <w:tcW w:type="dxa" w:w="3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bCs/>
                <w:color w:val="2D1A8A"/>
                <w:sz w:val="19"/>
                <w:szCs w:val="19"/>
              </w:rPr>
              <w:t xml:space="preserve">Community &amp; DAO treasury</w:t>
            </w:r>
          </w:p>
        </w:tc>
        <w:tc>
          <w:tcPr>
            <w:tcW w:type="dxa" w:w="58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40% — governed by token holder vote</w:t>
            </w:r>
          </w:p>
        </w:tc>
      </w:tr>
      <w:tr>
        <w:tc>
          <w:tcPr>
            <w:tcW w:type="dxa" w:w="35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bCs/>
                <w:color w:val="2D1A8A"/>
                <w:sz w:val="19"/>
                <w:szCs w:val="19"/>
              </w:rPr>
              <w:t xml:space="preserve">Ecosystem &amp; developer grants</w:t>
            </w:r>
          </w:p>
        </w:tc>
        <w:tc>
          <w:tcPr>
            <w:tcW w:type="dxa" w:w="586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20% — SDK adoption, integrations, builder rewards</w:t>
            </w:r>
          </w:p>
        </w:tc>
      </w:tr>
      <w:tr>
        <w:tc>
          <w:tcPr>
            <w:tcW w:type="dxa" w:w="3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bCs/>
                <w:color w:val="2D1A8A"/>
                <w:sz w:val="19"/>
                <w:szCs w:val="19"/>
              </w:rPr>
              <w:t xml:space="preserve">Founding team</w:t>
            </w:r>
          </w:p>
        </w:tc>
        <w:tc>
          <w:tcPr>
            <w:tcW w:type="dxa" w:w="58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15% — 4-year vest, 1-year cliff, contract-enforced</w:t>
            </w:r>
          </w:p>
        </w:tc>
      </w:tr>
      <w:tr>
        <w:tc>
          <w:tcPr>
            <w:tcW w:type="dxa" w:w="35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bCs/>
                <w:color w:val="2D1A8A"/>
                <w:sz w:val="19"/>
                <w:szCs w:val="19"/>
              </w:rPr>
              <w:t xml:space="preserve">Early contributors &amp; advisors</w:t>
            </w:r>
          </w:p>
        </w:tc>
        <w:tc>
          <w:tcPr>
            <w:tcW w:type="dxa" w:w="586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10% — 2-year vest</w:t>
            </w:r>
          </w:p>
        </w:tc>
      </w:tr>
      <w:tr>
        <w:tc>
          <w:tcPr>
            <w:tcW w:type="dxa" w:w="35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bCs/>
                <w:color w:val="2D1A8A"/>
                <w:sz w:val="19"/>
                <w:szCs w:val="19"/>
              </w:rPr>
              <w:t xml:space="preserve">Public launch event</w:t>
            </w:r>
          </w:p>
        </w:tc>
        <w:tc>
          <w:tcPr>
            <w:tcW w:type="dxa" w:w="58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10% — liquidity bootstrapping</w:t>
            </w:r>
          </w:p>
        </w:tc>
      </w:tr>
      <w:tr>
        <w:tc>
          <w:tcPr>
            <w:tcW w:type="dxa" w:w="35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bCs/>
                <w:color w:val="2D1A8A"/>
                <w:sz w:val="19"/>
                <w:szCs w:val="19"/>
              </w:rPr>
              <w:t xml:space="preserve">Protocol reserve vault</w:t>
            </w:r>
          </w:p>
        </w:tc>
        <w:tc>
          <w:tcPr>
            <w:tcW w:type="dxa" w:w="586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5% — locked permanently, no withdrawal function, publicly verifiable on-chain</w:t>
            </w:r>
          </w:p>
        </w:tc>
      </w:tr>
    </w:tbl>
    <w:p>
      <w:pPr>
        <w:spacing w:after="0"/>
      </w:pPr>
      <w:r>
        <w:t xml:space="preserve"/>
      </w:r>
    </w:p>
    <w:p>
      <w:pPr>
        <w:spacing w:after="120"/>
      </w:pPr>
      <w:r>
        <w:rPr>
          <w:rFonts w:ascii="Arial" w:cs="Arial" w:eastAsia="Arial" w:hAnsi="Arial"/>
          <w:color w:val="333333"/>
          <w:sz w:val="20"/>
          <w:szCs w:val="20"/>
        </w:rPr>
        <w:t xml:space="preserve">Token utility:</w:t>
      </w:r>
    </w:p>
    <w:p>
      <w:pPr>
        <w:spacing w:after="0"/>
      </w:pPr>
      <w:r>
        <w:t xml:space="preserve"/>
      </w:r>
    </w:p>
    <w:p>
      <w:pPr>
        <w:pStyle w:val="ListParagraph"/>
        <w:numPr>
          <w:ilvl w:val="0"/>
          <w:numId w:val="2"/>
        </w:numPr>
        <w:spacing w:after="80"/>
      </w:pPr>
      <w:r>
        <w:rPr>
          <w:rFonts w:ascii="Arial" w:cs="Arial" w:eastAsia="Arial" w:hAnsi="Arial"/>
          <w:color w:val="333333"/>
          <w:sz w:val="20"/>
          <w:szCs w:val="20"/>
        </w:rPr>
        <w:t xml:space="preserve">Governance voting — VLCR holders vote on protocol changes, treasury allocation, and feature prioritization via on-chain Governor contract. 7-day voting period, 10% quorum.</w:t>
      </w:r>
    </w:p>
    <w:p>
      <w:pPr>
        <w:pStyle w:val="ListParagraph"/>
        <w:numPr>
          <w:ilvl w:val="0"/>
          <w:numId w:val="2"/>
        </w:numPr>
        <w:spacing w:after="80"/>
      </w:pPr>
      <w:r>
        <w:rPr>
          <w:rFonts w:ascii="Arial" w:cs="Arial" w:eastAsia="Arial" w:hAnsi="Arial"/>
          <w:color w:val="333333"/>
          <w:sz w:val="20"/>
          <w:szCs w:val="20"/>
        </w:rPr>
        <w:t xml:space="preserve">Relayer staking — users stake VLCR to operate relayer nodes that sponsor gas fees. Minimum 500 VLCR. 7-day lock prevents flash-loan attacks. MasterChef accumulator reward pattern.</w:t>
      </w:r>
    </w:p>
    <w:p>
      <w:pPr>
        <w:pStyle w:val="ListParagraph"/>
        <w:numPr>
          <w:ilvl w:val="0"/>
          <w:numId w:val="2"/>
        </w:numPr>
        <w:spacing w:after="80"/>
      </w:pPr>
      <w:r>
        <w:rPr>
          <w:rFonts w:ascii="Arial" w:cs="Arial" w:eastAsia="Arial" w:hAnsi="Arial"/>
          <w:color w:val="333333"/>
          <w:sz w:val="20"/>
          <w:szCs w:val="20"/>
        </w:rPr>
        <w:t xml:space="preserve">Reduced spread — VLCR stakers receive a reduced spread rate on trades. Long-term holders benefit from holding.</w:t>
      </w:r>
    </w:p>
    <w:p>
      <w:pPr>
        <w:pStyle w:val="ListParagraph"/>
        <w:numPr>
          <w:ilvl w:val="0"/>
          <w:numId w:val="2"/>
        </w:numPr>
        <w:spacing w:after="80"/>
      </w:pPr>
      <w:r>
        <w:rPr>
          <w:rFonts w:ascii="Arial" w:cs="Arial" w:eastAsia="Arial" w:hAnsi="Arial"/>
          <w:color w:val="333333"/>
          <w:sz w:val="20"/>
          <w:szCs w:val="20"/>
        </w:rPr>
        <w:t xml:space="preserve">Protocol reserve — 5% locked in ReserveVault with no withdrawal function. Permanently verifiable on-chain. Transparent, immutable, public.</w:t>
      </w:r>
    </w:p>
    <w:p>
      <w:pPr>
        <w:spacing w:after="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9360"/>
      </w:tblGrid>
      <w:tr>
        <w:tc>
          <w:tcPr>
            <w:tcW w:type="dxa" w:w="9360"/>
            <w:tcBorders>
              <w:top w:val="none" w:color="FFFFFF" w:sz="0"/>
              <w:left w:val="single" w:color="1B0F5E" w:sz="14"/>
              <w:bottom w:val="none" w:color="FFFFFF" w:sz="0"/>
              <w:right w:val="none" w:color="FFFFFF" w:sz="0"/>
            </w:tcBorders>
            <w:shd w:fill="F5F3FF" w:val="clear"/>
            <w:tcMar>
              <w:top w:type="dxa" w:w="100"/>
              <w:left w:type="dxa" w:w="200"/>
              <w:bottom w:type="dxa" w:w="100"/>
              <w:right w:type="dxa" w:w="120"/>
            </w:tcMar>
          </w:tcPr>
          <w:p>
            <w:pPr>
              <w:spacing w:after="40"/>
            </w:pPr>
            <w:r>
              <w:rPr>
                <w:rFonts w:ascii="Arial" w:cs="Arial" w:eastAsia="Arial" w:hAnsi="Arial"/>
                <w:b/>
                <w:bCs/>
                <w:color w:val="1B0F5E"/>
                <w:sz w:val="19"/>
                <w:szCs w:val="19"/>
              </w:rPr>
              <w:t xml:space="preserve">Decentralization as Civil Rights</w:t>
            </w:r>
          </w:p>
          <w:p>
            <w:pPr>
              <w:spacing w:after="0"/>
            </w:pPr>
            <w:r>
              <w:rPr>
                <w:rFonts w:ascii="Arial" w:cs="Arial" w:eastAsia="Arial" w:hAnsi="Arial"/>
                <w:i/>
                <w:iCs/>
                <w:color w:val="444444"/>
                <w:sz w:val="19"/>
                <w:szCs w:val="19"/>
              </w:rPr>
              <w:t xml:space="preserve">The VLCR token and DAO are not a fundraising mechanism. They are the governance architecture that ensures Velcro cannot be captured, controlled, or shut down by any single entity — including its founders. This is civil rights by organizational design.</w:t>
            </w:r>
          </w:p>
        </w:tc>
      </w:tr>
    </w:tbl>
    <w:p>
      <w:pPr>
        <w:spacing w:after="0"/>
      </w:pPr>
      <w:r>
        <w:t xml:space="preserve"/>
      </w:r>
    </w:p>
    <w:p>
      <w:pPr>
        <w:spacing w:after="120" w:before="280"/>
      </w:pPr>
      <w:r>
        <w:rPr>
          <w:rFonts w:ascii="Arial" w:cs="Arial" w:eastAsia="Arial" w:hAnsi="Arial"/>
          <w:b/>
          <w:bCs/>
          <w:color w:val="2D1A8A"/>
          <w:sz w:val="24"/>
          <w:szCs w:val="24"/>
        </w:rPr>
        <w:t xml:space="preserve">Gasless Relayer Network — Zero Fees by Architecture</w:t>
      </w:r>
    </w:p>
    <w:p>
      <w:pPr>
        <w:spacing w:after="0"/>
      </w:pPr>
      <w:r>
        <w:t xml:space="preserve"/>
      </w:r>
    </w:p>
    <w:p>
      <w:pPr>
        <w:spacing w:after="120"/>
      </w:pPr>
      <w:r>
        <w:rPr>
          <w:rFonts w:ascii="Arial" w:cs="Arial" w:eastAsia="Arial" w:hAnsi="Arial"/>
          <w:color w:val="333333"/>
          <w:sz w:val="20"/>
          <w:szCs w:val="20"/>
        </w:rPr>
        <w:t xml:space="preserve">In V1 and V2, Velcro absorbs gas costs directly. In Phase 3, this function is decentralized to a network of VLCR-staking relayer operators, making the zero-gas-fee promise technically sustainable at global scale.</w:t>
      </w:r>
    </w:p>
    <w:p>
      <w:pPr>
        <w:spacing w:after="0"/>
      </w:pPr>
      <w:r>
        <w:t xml:space="preserve"/>
      </w:r>
    </w:p>
    <w:p>
      <w:pPr>
        <w:pStyle w:val="ListParagraph"/>
        <w:numPr>
          <w:ilvl w:val="0"/>
          <w:numId w:val="2"/>
        </w:numPr>
        <w:spacing w:after="80"/>
      </w:pPr>
      <w:r>
        <w:rPr>
          <w:rFonts w:ascii="Arial" w:cs="Arial" w:eastAsia="Arial" w:hAnsi="Arial"/>
          <w:color w:val="333333"/>
          <w:sz w:val="20"/>
          <w:szCs w:val="20"/>
        </w:rPr>
        <w:t xml:space="preserve">Relayers are hot wallets holding ETH to pay gas on behalf of users. They submit user-signed meta-transactions (EIP-2771 MinimalForwarder pattern) and are reimbursed from the fee pool on settlement.</w:t>
      </w:r>
    </w:p>
    <w:p>
      <w:pPr>
        <w:pStyle w:val="ListParagraph"/>
        <w:numPr>
          <w:ilvl w:val="0"/>
          <w:numId w:val="2"/>
        </w:numPr>
        <w:spacing w:after="80"/>
      </w:pPr>
      <w:r>
        <w:rPr>
          <w:rFonts w:ascii="Arial" w:cs="Arial" w:eastAsia="Arial" w:hAnsi="Arial"/>
          <w:color w:val="333333"/>
          <w:sz w:val="20"/>
          <w:szCs w:val="20"/>
        </w:rPr>
        <w:t xml:space="preserve">Users sign EIP-712 typed data payloads — no gas required from the user’s wallet at any point.</w:t>
      </w:r>
    </w:p>
    <w:p>
      <w:pPr>
        <w:pStyle w:val="ListParagraph"/>
        <w:numPr>
          <w:ilvl w:val="0"/>
          <w:numId w:val="2"/>
        </w:numPr>
        <w:spacing w:after="80"/>
      </w:pPr>
      <w:r>
        <w:rPr>
          <w:rFonts w:ascii="Arial" w:cs="Arial" w:eastAsia="Arial" w:hAnsi="Arial"/>
          <w:color w:val="333333"/>
          <w:sz w:val="20"/>
          <w:szCs w:val="20"/>
        </w:rPr>
        <w:t xml:space="preserve">The Gateway API routes meta-transactions to available relayers via round-robin load balancing across the registered relayer registry.</w:t>
      </w:r>
    </w:p>
    <w:p>
      <w:pPr>
        <w:pStyle w:val="ListParagraph"/>
        <w:numPr>
          <w:ilvl w:val="0"/>
          <w:numId w:val="2"/>
        </w:numPr>
        <w:spacing w:after="80"/>
      </w:pPr>
      <w:r>
        <w:rPr>
          <w:rFonts w:ascii="Arial" w:cs="Arial" w:eastAsia="Arial" w:hAnsi="Arial"/>
          <w:color w:val="333333"/>
          <w:sz w:val="20"/>
          <w:szCs w:val="20"/>
        </w:rPr>
        <w:t xml:space="preserve">As relayer count grows, the network becomes progressively more censorship-resistant. No single operator can block a user’s transaction.</w:t>
      </w:r>
    </w:p>
    <w:p>
      <w:pPr>
        <w:spacing w:after="0"/>
      </w:pPr>
      <w:r>
        <w:t xml:space="preserve"/>
      </w:r>
    </w:p>
    <w:p>
      <w:pPr>
        <w:spacing w:after="120" w:before="280"/>
      </w:pPr>
      <w:r>
        <w:rPr>
          <w:rFonts w:ascii="Arial" w:cs="Arial" w:eastAsia="Arial" w:hAnsi="Arial"/>
          <w:b/>
          <w:bCs/>
          <w:color w:val="2D1A8A"/>
          <w:sz w:val="24"/>
          <w:szCs w:val="24"/>
        </w:rPr>
        <w:t xml:space="preserve">Phase 3 Roadmap</w:t>
      </w:r>
    </w:p>
    <w:p>
      <w:pPr>
        <w:spacing w:after="0"/>
      </w:pPr>
      <w:r>
        <w:t xml:space="preserve"/>
      </w:r>
    </w:p>
    <w:tbl>
      <w:tblPr>
        <w:tblW w:type="dxa" w:w="9360"/>
        <w:tblBorders>
          <w:top w:val="single" w:color="CCCCCC" w:sz="1"/>
          <w:left w:val="single" w:color="CCCCCC" w:sz="1"/>
          <w:bottom w:val="single" w:color="CCCCCC" w:sz="1"/>
          <w:right w:val="single" w:color="CCCCCC" w:sz="1"/>
          <w:insideH w:val="single" w:color="auto" w:sz="4"/>
          <w:insideV w:val="single" w:color="auto" w:sz="4"/>
        </w:tblBorders>
      </w:tblPr>
      <w:tblGrid>
        <w:gridCol w:w="2800"/>
        <w:gridCol w:w="4760"/>
        <w:gridCol w:w="1800"/>
      </w:tblGrid>
      <w:tr>
        <w:tc>
          <w:tcPr>
            <w:tcW w:type="dxa" w:w="2800"/>
            <w:tcBorders>
              <w:top w:val="single" w:color="CCCCCC" w:sz="1"/>
              <w:left w:val="single" w:color="CCCCCC" w:sz="1"/>
              <w:bottom w:val="single" w:color="CCCCCC" w:sz="1"/>
              <w:right w:val="single" w:color="CCCCCC" w:sz="1"/>
            </w:tcBorders>
            <w:shd w:fill="1B0F5E" w:val="clear"/>
            <w:tcMar>
              <w:top w:type="dxa" w:w="80"/>
              <w:left w:type="dxa" w:w="120"/>
              <w:bottom w:type="dxa" w:w="80"/>
              <w:right w:type="dxa" w:w="120"/>
            </w:tcMar>
          </w:tcPr>
          <w:p>
            <w:pPr>
              <w:spacing w:after="0"/>
            </w:pPr>
            <w:r>
              <w:rPr>
                <w:rFonts w:ascii="Arial" w:cs="Arial" w:eastAsia="Arial" w:hAnsi="Arial"/>
                <w:b/>
                <w:bCs/>
                <w:color w:val="FFFFFF"/>
                <w:sz w:val="19"/>
                <w:szCs w:val="19"/>
              </w:rPr>
              <w:t xml:space="preserve">Milestone</w:t>
            </w:r>
          </w:p>
        </w:tc>
        <w:tc>
          <w:tcPr>
            <w:tcW w:type="dxa" w:w="4760"/>
            <w:tcBorders>
              <w:top w:val="single" w:color="CCCCCC" w:sz="1"/>
              <w:left w:val="single" w:color="CCCCCC" w:sz="1"/>
              <w:bottom w:val="single" w:color="CCCCCC" w:sz="1"/>
              <w:right w:val="single" w:color="CCCCCC" w:sz="1"/>
            </w:tcBorders>
            <w:shd w:fill="1B0F5E" w:val="clear"/>
            <w:tcMar>
              <w:top w:type="dxa" w:w="80"/>
              <w:left w:type="dxa" w:w="120"/>
              <w:bottom w:type="dxa" w:w="80"/>
              <w:right w:type="dxa" w:w="120"/>
            </w:tcMar>
          </w:tcPr>
          <w:p>
            <w:pPr>
              <w:spacing w:after="0"/>
            </w:pPr>
            <w:r>
              <w:rPr>
                <w:rFonts w:ascii="Arial" w:cs="Arial" w:eastAsia="Arial" w:hAnsi="Arial"/>
                <w:b/>
                <w:bCs/>
                <w:color w:val="FFFFFF"/>
                <w:sz w:val="19"/>
                <w:szCs w:val="19"/>
              </w:rPr>
              <w:t xml:space="preserve">Deliverable</w:t>
            </w:r>
          </w:p>
        </w:tc>
        <w:tc>
          <w:tcPr>
            <w:tcW w:type="dxa" w:w="1800"/>
            <w:tcBorders>
              <w:top w:val="single" w:color="CCCCCC" w:sz="1"/>
              <w:left w:val="single" w:color="CCCCCC" w:sz="1"/>
              <w:bottom w:val="single" w:color="CCCCCC" w:sz="1"/>
              <w:right w:val="single" w:color="CCCCCC" w:sz="1"/>
            </w:tcBorders>
            <w:shd w:fill="1B0F5E" w:val="clear"/>
            <w:tcMar>
              <w:top w:type="dxa" w:w="80"/>
              <w:left w:type="dxa" w:w="120"/>
              <w:bottom w:type="dxa" w:w="80"/>
              <w:right w:type="dxa" w:w="120"/>
            </w:tcMar>
          </w:tcPr>
          <w:p>
            <w:pPr>
              <w:spacing w:after="0"/>
            </w:pPr>
            <w:r>
              <w:rPr>
                <w:rFonts w:ascii="Arial" w:cs="Arial" w:eastAsia="Arial" w:hAnsi="Arial"/>
                <w:b/>
                <w:bCs/>
                <w:color w:val="FFFFFF"/>
                <w:sz w:val="19"/>
                <w:szCs w:val="19"/>
              </w:rPr>
              <w:t xml:space="preserve">Timeline</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bCs/>
                <w:color w:val="2D1A8A"/>
                <w:sz w:val="19"/>
                <w:szCs w:val="19"/>
              </w:rPr>
              <w:t xml:space="preserve">3.1 — NFC Architecture</w:t>
            </w:r>
          </w:p>
        </w:tc>
        <w:tc>
          <w:tcPr>
            <w:tcW w:type="dxa" w:w="4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NFC tap-to-pay prototype on Android. One-time ECDSA payload. Sub-500ms auth demo.</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Month 8–9</w:t>
            </w:r>
          </w:p>
        </w:tc>
      </w:tr>
      <w:tr>
        <w:tc>
          <w:tcPr>
            <w:tcW w:type="dxa" w:w="28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bCs/>
                <w:color w:val="2D1A8A"/>
                <w:sz w:val="19"/>
                <w:szCs w:val="19"/>
              </w:rPr>
              <w:t xml:space="preserve">3.2 — Merchant SDK v1</w:t>
            </w:r>
          </w:p>
        </w:tc>
        <w:tc>
          <w:tcPr>
            <w:tcW w:type="dxa" w:w="476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Open source merchant SDK on velcro.dev. First 10 merchant integrations. White-label API beta.</w:t>
            </w:r>
          </w:p>
        </w:tc>
        <w:tc>
          <w:tcPr>
            <w:tcW w:type="dxa" w:w="18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Month 10–11</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bCs/>
                <w:color w:val="2D1A8A"/>
                <w:sz w:val="19"/>
                <w:szCs w:val="19"/>
              </w:rPr>
              <w:t xml:space="preserve">3.3 — Relayer Network</w:t>
            </w:r>
          </w:p>
        </w:tc>
        <w:tc>
          <w:tcPr>
            <w:tcW w:type="dxa" w:w="4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Decentralized relayer registry deployed. VLCR staker onboarding. Gasless meta-tx live on mainnet.</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Month 12</w:t>
            </w:r>
          </w:p>
        </w:tc>
      </w:tr>
      <w:tr>
        <w:tc>
          <w:tcPr>
            <w:tcW w:type="dxa" w:w="28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bCs/>
                <w:color w:val="2D1A8A"/>
                <w:sz w:val="19"/>
                <w:szCs w:val="19"/>
              </w:rPr>
              <w:t xml:space="preserve">3.4 — VLCR Token Launch</w:t>
            </w:r>
          </w:p>
        </w:tc>
        <w:tc>
          <w:tcPr>
            <w:tcW w:type="dxa" w:w="476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VLCR token deployed. DAO Governor contract live. Community governance begins.</w:t>
            </w:r>
          </w:p>
        </w:tc>
        <w:tc>
          <w:tcPr>
            <w:tcW w:type="dxa" w:w="18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Month 13–14</w:t>
            </w:r>
          </w:p>
        </w:tc>
      </w:tr>
      <w:tr>
        <w:tc>
          <w:tcPr>
            <w:tcW w:type="dxa" w:w="2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bCs/>
                <w:color w:val="2D1A8A"/>
                <w:sz w:val="19"/>
                <w:szCs w:val="19"/>
              </w:rPr>
              <w:t xml:space="preserve">3.5 — Merchant Scale</w:t>
            </w:r>
          </w:p>
        </w:tc>
        <w:tc>
          <w:tcPr>
            <w:tcW w:type="dxa" w:w="47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10,000 active merchants. NFC payments live in 3+ countries. Local currency settlement available.</w:t>
            </w:r>
          </w:p>
        </w:tc>
        <w:tc>
          <w:tcPr>
            <w:tcW w:type="dxa" w:w="18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Month 18</w:t>
            </w:r>
          </w:p>
        </w:tc>
      </w:tr>
      <w:tr>
        <w:tc>
          <w:tcPr>
            <w:tcW w:type="dxa" w:w="28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bCs/>
                <w:color w:val="2D1A8A"/>
                <w:sz w:val="19"/>
                <w:szCs w:val="19"/>
              </w:rPr>
              <w:t xml:space="preserve">3.6 — Protocol Handoff</w:t>
            </w:r>
          </w:p>
        </w:tc>
        <w:tc>
          <w:tcPr>
            <w:tcW w:type="dxa" w:w="476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DAO votes on first protocol parameter change. Founding team veto dissolves. Velcro is community-governed.</w:t>
            </w:r>
          </w:p>
        </w:tc>
        <w:tc>
          <w:tcPr>
            <w:tcW w:type="dxa" w:w="18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Month 24</w:t>
            </w:r>
          </w:p>
        </w:tc>
      </w:tr>
    </w:tbl>
    <w:p>
      <w:pPr>
        <w:spacing w:after="0"/>
      </w:pPr>
      <w:r>
        <w:t xml:space="preserve"/>
      </w:r>
    </w:p>
    <w:p>
      <w:pPr>
        <w:spacing w:after="120" w:before="280"/>
      </w:pPr>
      <w:r>
        <w:rPr>
          <w:rFonts w:ascii="Arial" w:cs="Arial" w:eastAsia="Arial" w:hAnsi="Arial"/>
          <w:b/>
          <w:bCs/>
          <w:color w:val="2D1A8A"/>
          <w:sz w:val="24"/>
          <w:szCs w:val="24"/>
        </w:rPr>
        <w:t xml:space="preserve">Phase 3 Funding Target — $3.5M Seed Round</w:t>
      </w:r>
    </w:p>
    <w:p>
      <w:pPr>
        <w:spacing w:after="0"/>
      </w:pPr>
      <w:r>
        <w:t xml:space="preserve"/>
      </w:r>
    </w:p>
    <w:p>
      <w:pPr>
        <w:spacing w:after="120"/>
      </w:pPr>
      <w:r>
        <w:rPr>
          <w:rFonts w:ascii="Arial" w:cs="Arial" w:eastAsia="Arial" w:hAnsi="Arial"/>
          <w:color w:val="333333"/>
          <w:sz w:val="20"/>
          <w:szCs w:val="20"/>
        </w:rPr>
        <w:t xml:space="preserve">Phase 3 requires a $3.5M seed round — distinct from the $150K infrastructure grant funding V1 and V2. The seed round funds NFC hardware integration, merchant SDK rollout, relayer network deployment, VLCR token launch, and multi-jurisdiction legal and compliance infrastructure.</w:t>
      </w:r>
    </w:p>
    <w:p>
      <w:pPr>
        <w:spacing w:after="0"/>
      </w:pPr>
      <w:r>
        <w:t xml:space="preserve"/>
      </w:r>
    </w:p>
    <w:tbl>
      <w:tblPr>
        <w:tblW w:type="dxa" w:w="9360"/>
        <w:tblBorders>
          <w:top w:val="single" w:color="CCCCCC" w:sz="1"/>
          <w:left w:val="single" w:color="CCCCCC" w:sz="1"/>
          <w:bottom w:val="single" w:color="CCCCCC" w:sz="1"/>
          <w:right w:val="single" w:color="CCCCCC" w:sz="1"/>
          <w:insideH w:val="single" w:color="auto" w:sz="4"/>
          <w:insideV w:val="single" w:color="auto" w:sz="4"/>
        </w:tblBorders>
      </w:tblPr>
      <w:tblGrid>
        <w:gridCol w:w="4560"/>
        <w:gridCol w:w="2400"/>
        <w:gridCol w:w="2400"/>
      </w:tblGrid>
      <w:tr>
        <w:tc>
          <w:tcPr>
            <w:tcW w:type="dxa" w:w="4560"/>
            <w:tcBorders>
              <w:top w:val="single" w:color="CCCCCC" w:sz="1"/>
              <w:left w:val="single" w:color="CCCCCC" w:sz="1"/>
              <w:bottom w:val="single" w:color="CCCCCC" w:sz="1"/>
              <w:right w:val="single" w:color="CCCCCC" w:sz="1"/>
            </w:tcBorders>
            <w:shd w:fill="1B0F5E" w:val="clear"/>
            <w:tcMar>
              <w:top w:type="dxa" w:w="80"/>
              <w:left w:type="dxa" w:w="120"/>
              <w:bottom w:type="dxa" w:w="80"/>
              <w:right w:type="dxa" w:w="120"/>
            </w:tcMar>
          </w:tcPr>
          <w:p>
            <w:pPr>
              <w:spacing w:after="0"/>
            </w:pPr>
            <w:r>
              <w:rPr>
                <w:rFonts w:ascii="Arial" w:cs="Arial" w:eastAsia="Arial" w:hAnsi="Arial"/>
                <w:b/>
                <w:bCs/>
                <w:color w:val="FFFFFF"/>
                <w:sz w:val="19"/>
                <w:szCs w:val="19"/>
              </w:rPr>
              <w:t xml:space="preserve">Use of Funds</w:t>
            </w:r>
          </w:p>
        </w:tc>
        <w:tc>
          <w:tcPr>
            <w:tcW w:type="dxa" w:w="2400"/>
            <w:tcBorders>
              <w:top w:val="single" w:color="CCCCCC" w:sz="1"/>
              <w:left w:val="single" w:color="CCCCCC" w:sz="1"/>
              <w:bottom w:val="single" w:color="CCCCCC" w:sz="1"/>
              <w:right w:val="single" w:color="CCCCCC" w:sz="1"/>
            </w:tcBorders>
            <w:shd w:fill="1B0F5E" w:val="clear"/>
            <w:tcMar>
              <w:top w:type="dxa" w:w="80"/>
              <w:left w:type="dxa" w:w="120"/>
              <w:bottom w:type="dxa" w:w="80"/>
              <w:right w:type="dxa" w:w="120"/>
            </w:tcMar>
          </w:tcPr>
          <w:p>
            <w:pPr>
              <w:spacing w:after="0"/>
            </w:pPr>
            <w:r>
              <w:rPr>
                <w:rFonts w:ascii="Arial" w:cs="Arial" w:eastAsia="Arial" w:hAnsi="Arial"/>
                <w:b/>
                <w:bCs/>
                <w:color w:val="FFFFFF"/>
                <w:sz w:val="19"/>
                <w:szCs w:val="19"/>
              </w:rPr>
              <w:t xml:space="preserve">Amount</w:t>
            </w:r>
          </w:p>
        </w:tc>
        <w:tc>
          <w:tcPr>
            <w:tcW w:type="dxa" w:w="2400"/>
            <w:tcBorders>
              <w:top w:val="single" w:color="CCCCCC" w:sz="1"/>
              <w:left w:val="single" w:color="CCCCCC" w:sz="1"/>
              <w:bottom w:val="single" w:color="CCCCCC" w:sz="1"/>
              <w:right w:val="single" w:color="CCCCCC" w:sz="1"/>
            </w:tcBorders>
            <w:shd w:fill="1B0F5E" w:val="clear"/>
            <w:tcMar>
              <w:top w:type="dxa" w:w="80"/>
              <w:left w:type="dxa" w:w="120"/>
              <w:bottom w:type="dxa" w:w="80"/>
              <w:right w:type="dxa" w:w="120"/>
            </w:tcMar>
          </w:tcPr>
          <w:p>
            <w:pPr>
              <w:spacing w:after="0"/>
            </w:pPr>
            <w:r>
              <w:rPr>
                <w:rFonts w:ascii="Arial" w:cs="Arial" w:eastAsia="Arial" w:hAnsi="Arial"/>
                <w:b/>
                <w:bCs/>
                <w:color w:val="FFFFFF"/>
                <w:sz w:val="19"/>
                <w:szCs w:val="19"/>
              </w:rPr>
              <w:t xml:space="preserve">% of Round</w:t>
            </w:r>
          </w:p>
        </w:tc>
      </w:tr>
      <w:tr>
        <w:tc>
          <w:tcPr>
            <w:tcW w:type="dxa" w:w="4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bCs/>
                <w:color w:val="2D1A8A"/>
                <w:sz w:val="19"/>
                <w:szCs w:val="19"/>
              </w:rPr>
              <w:t xml:space="preserve">NFC &amp; POS hardware integration + merchant SDK</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$1,200,000</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34%</w:t>
            </w:r>
          </w:p>
        </w:tc>
      </w:tr>
      <w:tr>
        <w:tc>
          <w:tcPr>
            <w:tcW w:type="dxa" w:w="456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bCs/>
                <w:color w:val="2D1A8A"/>
                <w:sz w:val="19"/>
                <w:szCs w:val="19"/>
              </w:rPr>
              <w:t xml:space="preserve">Relayer network infrastructure + VLCR token deployment</w:t>
            </w:r>
          </w:p>
        </w:tc>
        <w:tc>
          <w:tcPr>
            <w:tcW w:type="dxa" w:w="24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$700,000</w:t>
            </w:r>
          </w:p>
        </w:tc>
        <w:tc>
          <w:tcPr>
            <w:tcW w:type="dxa" w:w="24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20%</w:t>
            </w:r>
          </w:p>
        </w:tc>
      </w:tr>
      <w:tr>
        <w:tc>
          <w:tcPr>
            <w:tcW w:type="dxa" w:w="4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bCs/>
                <w:color w:val="2D1A8A"/>
                <w:sz w:val="19"/>
                <w:szCs w:val="19"/>
              </w:rPr>
              <w:t xml:space="preserve">Merchant acquisition &amp; ecosystem growth</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$875,000</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25%</w:t>
            </w:r>
          </w:p>
        </w:tc>
      </w:tr>
      <w:tr>
        <w:tc>
          <w:tcPr>
            <w:tcW w:type="dxa" w:w="456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bCs/>
                <w:color w:val="2D1A8A"/>
                <w:sz w:val="19"/>
                <w:szCs w:val="19"/>
              </w:rPr>
              <w:t xml:space="preserve">Regulatory &amp; multi-jurisdiction legal compliance</w:t>
            </w:r>
          </w:p>
        </w:tc>
        <w:tc>
          <w:tcPr>
            <w:tcW w:type="dxa" w:w="24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$350,000</w:t>
            </w:r>
          </w:p>
        </w:tc>
        <w:tc>
          <w:tcPr>
            <w:tcW w:type="dxa" w:w="24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10%</w:t>
            </w:r>
          </w:p>
        </w:tc>
      </w:tr>
      <w:tr>
        <w:tc>
          <w:tcPr>
            <w:tcW w:type="dxa" w:w="4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bCs/>
                <w:color w:val="2D1A8A"/>
                <w:sz w:val="19"/>
                <w:szCs w:val="19"/>
              </w:rPr>
              <w:t xml:space="preserve">Security audits (Phase 3 scope)</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$175,000</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5%</w:t>
            </w:r>
          </w:p>
        </w:tc>
      </w:tr>
      <w:tr>
        <w:tc>
          <w:tcPr>
            <w:tcW w:type="dxa" w:w="456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bCs/>
                <w:color w:val="2D1A8A"/>
                <w:sz w:val="19"/>
                <w:szCs w:val="19"/>
              </w:rPr>
              <w:t xml:space="preserve">Operations &amp; team expansion</w:t>
            </w:r>
          </w:p>
        </w:tc>
        <w:tc>
          <w:tcPr>
            <w:tcW w:type="dxa" w:w="24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$200,000</w:t>
            </w:r>
          </w:p>
        </w:tc>
        <w:tc>
          <w:tcPr>
            <w:tcW w:type="dxa" w:w="2400"/>
            <w:tcBorders>
              <w:top w:val="single" w:color="CCCCCC" w:sz="1"/>
              <w:left w:val="single" w:color="CCCCCC" w:sz="1"/>
              <w:bottom w:val="single" w:color="CCCCCC" w:sz="1"/>
              <w:right w:val="single" w:color="CCCCCC" w:sz="1"/>
            </w:tcBorders>
            <w:shd w:fill="F5F3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6%</w:t>
            </w:r>
          </w:p>
        </w:tc>
      </w:tr>
      <w:tr>
        <w:tc>
          <w:tcPr>
            <w:tcW w:type="dxa" w:w="456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bCs/>
                <w:color w:val="2D1A8A"/>
                <w:sz w:val="19"/>
                <w:szCs w:val="19"/>
              </w:rPr>
              <w:t xml:space="preserve">Total</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$3,500,000</w:t>
            </w:r>
          </w:p>
        </w:tc>
        <w:tc>
          <w:tcPr>
            <w:tcW w:type="dxa" w:w="2400"/>
            <w:tcBorders>
              <w:top w:val="single" w:color="CCCCCC" w:sz="1"/>
              <w:left w:val="single" w:color="CCCCCC" w:sz="1"/>
              <w:bottom w:val="single" w:color="CCCCCC" w:sz="1"/>
              <w:right w:val="single" w:color="CCCCCC" w:sz="1"/>
            </w:tcBorders>
            <w:shd w:fill="FFFFFF" w:val="clear"/>
            <w:tcMar>
              <w:top w:type="dxa" w:w="80"/>
              <w:left w:type="dxa" w:w="120"/>
              <w:bottom w:type="dxa" w:w="80"/>
              <w:right w:type="dxa" w:w="120"/>
            </w:tcMar>
          </w:tcPr>
          <w:p>
            <w:pPr>
              <w:spacing w:after="0"/>
            </w:pPr>
            <w:r>
              <w:rPr>
                <w:rFonts w:ascii="Arial" w:cs="Arial" w:eastAsia="Arial" w:hAnsi="Arial"/>
                <w:b w:val="false"/>
                <w:bCs w:val="false"/>
                <w:color w:val="333333"/>
                <w:sz w:val="19"/>
                <w:szCs w:val="19"/>
              </w:rPr>
              <w:t xml:space="preserve">100%</w:t>
            </w:r>
          </w:p>
        </w:tc>
      </w:tr>
    </w:tbl>
    <w:p>
      <w:pPr>
        <w:spacing w:after="0"/>
      </w:pPr>
      <w:r>
        <w:t xml:space="preserve"/>
      </w:r>
    </w:p>
    <w:tbl>
      <w:tblPr>
        <w:tblW w:type="dxa" w:w="9360"/>
        <w:tblBorders>
          <w:top w:val="none" w:color="FFFFFF" w:sz="0"/>
          <w:left w:val="none" w:color="FFFFFF" w:sz="0"/>
          <w:bottom w:val="none" w:color="FFFFFF" w:sz="0"/>
          <w:right w:val="none" w:color="FFFFFF" w:sz="0"/>
          <w:insideH w:val="single" w:color="auto" w:sz="4"/>
          <w:insideV w:val="single" w:color="auto" w:sz="4"/>
        </w:tblBorders>
      </w:tblPr>
      <w:tblGrid>
        <w:gridCol w:w="9360"/>
      </w:tblGrid>
      <w:tr>
        <w:tc>
          <w:tcPr>
            <w:tcW w:type="dxa" w:w="9360"/>
            <w:tcBorders>
              <w:top w:val="none" w:color="FFFFFF" w:sz="0"/>
              <w:left w:val="single" w:color="4B2FB8" w:sz="14"/>
              <w:bottom w:val="none" w:color="FFFFFF" w:sz="0"/>
              <w:right w:val="none" w:color="FFFFFF" w:sz="0"/>
            </w:tcBorders>
            <w:shd w:fill="F5F3FF" w:val="clear"/>
            <w:tcMar>
              <w:top w:type="dxa" w:w="100"/>
              <w:left w:type="dxa" w:w="200"/>
              <w:bottom w:type="dxa" w:w="100"/>
              <w:right w:type="dxa" w:w="120"/>
            </w:tcMar>
          </w:tcPr>
          <w:p>
            <w:pPr>
              <w:spacing w:after="40"/>
            </w:pPr>
            <w:r>
              <w:rPr>
                <w:rFonts w:ascii="Arial" w:cs="Arial" w:eastAsia="Arial" w:hAnsi="Arial"/>
                <w:b/>
                <w:bCs/>
                <w:color w:val="4B2FB8"/>
                <w:sz w:val="19"/>
                <w:szCs w:val="19"/>
              </w:rPr>
              <w:t xml:space="preserve">The Complete Vision</w:t>
            </w:r>
          </w:p>
          <w:p>
            <w:pPr>
              <w:spacing w:after="0"/>
            </w:pPr>
            <w:r>
              <w:rPr>
                <w:rFonts w:ascii="Arial" w:cs="Arial" w:eastAsia="Arial" w:hAnsi="Arial"/>
                <w:i/>
                <w:iCs/>
                <w:color w:val="444444"/>
                <w:sz w:val="19"/>
                <w:szCs w:val="19"/>
              </w:rPr>
              <w:t xml:space="preserve">V1 proves the wallet. V2 proves the intelligence layer. Phase 3 proves the network. A user who opens Velcro in 2026 has the safest, most accessible crypto wallet ever built. A user who opens it in 2028 can tap their phone at any merchant on earth, pay zero fees, and do so with full non-custodial sovereignty. That is what we are building toward.</w:t>
            </w:r>
          </w:p>
        </w:tc>
      </w:tr>
    </w:tbl>
    <w:p>
      <w:pPr>
        <w:spacing w:after="0"/>
      </w:pPr>
      <w:r>
        <w:t xml:space="preserve"/>
      </w:r>
    </w:p>
    <w:sectPr>
      <w:footerReference w:type="default" r:id="rId6"/>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A3A6B" w:sz="4" w:space="4"/>
      </w:pBdr>
      <w:tabs>
        <w:tab w:val="right" w:pos="9026"/>
      </w:tabs>
    </w:pPr>
    <w:r>
      <w:rPr>
        <w:rFonts w:ascii="Arial" w:cs="Arial" w:eastAsia="Arial" w:hAnsi="Arial"/>
        <w:color w:val="888888"/>
        <w:sz w:val="18"/>
        <w:szCs w:val="18"/>
      </w:rPr>
      <w:t xml:space="preserve">CONFIDENTIAL — loveconcursall Wallet — Master Product Document</w:t>
    </w:r>
    <w:r>
      <w:rPr>
        <w:rFonts w:ascii="Arial" w:cs="Arial" w:eastAsia="Arial" w:hAnsi="Arial"/>
        <w:color w:val="888888"/>
        <w:sz w:val="18"/>
        <w:szCs w:val="18"/>
      </w:rPr>
      <w:t xml:space="preserve">	Page </w:t>
    </w:r>
    <w:r>
      <w:rPr>
        <w:rFonts w:ascii="Arial" w:cs="Arial" w:eastAsia="Arial" w:hAnsi="Arial"/>
        <w:color w:val="888888"/>
        <w:sz w:val="18"/>
        <w:szCs w:val="18"/>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bullet"/>
      <w:lvlText w:val="◦"/>
      <w:lvlJc w:val="left"/>
      <w:pPr>
        <w:ind w:left="108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400" w:after="200"/>
      <w:outlineLvl w:val="0"/>
    </w:pPr>
    <w:rPr>
      <w:rFonts w:ascii="Arial" w:cs="Arial" w:eastAsia="Arial" w:hAnsi="Arial"/>
      <w:b/>
      <w:bCs/>
      <w:color w:val="0D2145"/>
      <w:sz w:val="32"/>
      <w:szCs w:val="32"/>
    </w:rPr>
  </w:style>
  <w:style w:type="paragraph" w:styleId="Heading2">
    <w:name w:val="Heading 2"/>
    <w:basedOn w:val="Normal"/>
    <w:next w:val="Normal"/>
    <w:qFormat/>
    <w:pPr>
      <w:spacing w:before="300" w:after="160"/>
      <w:outlineLvl w:val="1"/>
    </w:pPr>
    <w:rPr>
      <w:rFonts w:ascii="Arial" w:cs="Arial" w:eastAsia="Arial" w:hAnsi="Arial"/>
      <w:b/>
      <w:bCs/>
      <w:color w:val="1A3A6B"/>
      <w:sz w:val="26"/>
      <w:szCs w:val="26"/>
    </w:rPr>
  </w:style>
  <w:style w:type="paragraph" w:styleId="Heading3">
    <w:name w:val="Heading 3"/>
    <w:basedOn w:val="Normal"/>
    <w:next w:val="Normal"/>
    <w:qFormat/>
    <w:pPr>
      <w:spacing w:before="200" w:after="100"/>
      <w:outlineLvl w:val="2"/>
    </w:pPr>
    <w:rPr>
      <w:rFonts w:ascii="Arial" w:cs="Arial" w:eastAsia="Arial" w:hAnsi="Arial"/>
      <w:b/>
      <w:bCs/>
      <w:color w:val="2A4A7A"/>
      <w:sz w:val="22"/>
      <w:szCs w:val="22"/>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image" Target="media/velcro_product.jpg"/><Relationship Id="rId9" Type="http://schemas.openxmlformats.org/officeDocument/2006/relationships/image" Target="media/velcro_screens.jpg"/></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2026-04-01T00:45:18.232Z</dcterms:created>
  <dcterms:modified xsi:type="dcterms:W3CDTF">2026-04-01T00:45:18.233Z</dcterms:modified>
</cp:coreProperties>
</file>

<file path=docProps/custom.xml><?xml version="1.0" encoding="utf-8"?>
<Properties xmlns="http://schemas.openxmlformats.org/officeDocument/2006/custom-properties" xmlns:vt="http://schemas.openxmlformats.org/officeDocument/2006/docPropsVTypes"/>
</file>