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1440" w:after="80"/>
        <w:jc w:val="center"/>
      </w:pPr>
      <w:r>
        <w:rPr>
          <w:rFonts w:ascii="Arial" w:cs="Arial" w:eastAsia="Arial" w:hAnsi="Arial"/>
          <w:b/>
          <w:bCs/>
          <w:color w:val="555555"/>
          <w:sz w:val="28"/>
          <w:szCs w:val="28"/>
        </w:rPr>
        <w:t xml:space="preserve">WHITE PAPER</w:t>
      </w:r>
    </w:p>
    <w:p>
      <w:pPr>
        <w:spacing w:before="40" w:after="80"/>
        <w:jc w:val="center"/>
      </w:pPr>
      <w:r>
        <w:rPr>
          <w:rFonts w:ascii="Arial" w:cs="Arial" w:eastAsia="Arial" w:hAnsi="Arial"/>
          <w:b/>
          <w:bCs/>
          <w:color w:val="0d0d1a"/>
          <w:sz w:val="52"/>
          <w:szCs w:val="52"/>
        </w:rPr>
        <w:t xml:space="preserve">Governing the Internet:</w:t>
      </w:r>
    </w:p>
    <w:p>
      <w:pPr>
        <w:spacing w:before="0" w:after="80"/>
        <w:jc w:val="center"/>
      </w:pPr>
      <w:r>
        <w:rPr>
          <w:rFonts w:ascii="Arial" w:cs="Arial" w:eastAsia="Arial" w:hAnsi="Arial"/>
          <w:b/>
          <w:bCs/>
          <w:color w:val="534AB7"/>
          <w:sz w:val="34"/>
          <w:szCs w:val="34"/>
        </w:rPr>
        <w:t xml:space="preserve">What Every Major Conference Got Right,
What They Got Wrong, and What Building It Right Actually Looks Like</w:t>
      </w:r>
    </w:p>
    <w:p>
      <w:pPr>
        <w:spacing w:before="60" w:after="500"/>
        <w:jc w:val="center"/>
      </w:pPr>
      <w:r>
        <w:rPr>
          <w:rFonts w:ascii="Arial" w:cs="Arial" w:eastAsia="Arial" w:hAnsi="Arial"/>
          <w:color w:val="888888"/>
          <w:sz w:val="22"/>
          <w:szCs w:val="22"/>
        </w:rPr>
        <w:t>From WSIS 2003 to NETmundial 2024 — With the Vela Protocol — the developer hub for Velcro Wallet and future related AI and Web3 projects as a Working Answer</w:t>
      </w:r>
    </w:p>
    <w:p>
      <w:pPr>
        <w:pBdr>
          <w:top w:val="single" w:color="1D9E75" w:sz="8" w:space="4"/>
          <w:bottom w:val="single" w:color="1D9E75" w:sz="8" w:space="4"/>
        </w:pBdr>
        <w:spacing w:before="120" w:after="120"/>
        <w:jc w:val="center"/>
      </w:pPr>
      <w:r>
        <w:rPr>
          <w:rFonts w:ascii="Arial" w:cs="Arial" w:eastAsia="Arial" w:hAnsi="Arial"/>
          <w:b/>
          <w:bCs/>
          <w:i/>
          <w:iCs/>
          <w:color w:val="0d0d1a"/>
          <w:sz w:val="22"/>
          <w:szCs w:val="22"/>
        </w:rPr>
        <w:t xml:space="preserve">The internet was built without rules. Twenty years of conferences described the rules that were missing. This paper asks what it looks like to build them in — into the architecture, not the policy.</w:t>
      </w:r>
    </w:p>
    <w:p>
      <w:pPr>
        <w:spacing w:before="80" w:after="80"/>
      </w:pPr>
      <w:r>
        <w:t xml:space="preserve"/>
      </w:r>
    </w:p>
    <w:p>
      <w:pPr>
        <w:spacing w:before="200" w:after="2400"/>
        <w:jc w:val="center"/>
      </w:pPr>
      <w:r>
        <w:rPr>
          <w:rFonts w:ascii="Arial" w:cs="Arial" w:eastAsia="Arial" w:hAnsi="Arial"/>
          <w:color w:val="888888"/>
          <w:sz w:val="20"/>
          <w:szCs w:val="20"/>
        </w:rPr>
        <w:t>Vela Protocol — the developer hub for Velcro Wallet and future related AI and Web3 projects — March 2026</w:t>
      </w:r>
    </w:p>
    <w:p>
      <w:r>
        <w:br w:type="page"/>
      </w:r>
    </w:p>
    <w:p>
      <w:pPr>
        <w:pStyle w:val="Heading1"/>
        <w:spacing w:before="480" w:after="120"/>
      </w:pPr>
      <w:r>
        <w:rPr>
          <w:rFonts w:ascii="Arial" w:cs="Arial" w:eastAsia="Arial" w:hAnsi="Arial"/>
          <w:b/>
          <w:bCs/>
          <w:color w:val="0d0d1a"/>
          <w:sz w:val="40"/>
          <w:szCs w:val="40"/>
        </w:rPr>
        <w:t xml:space="preserve">Introduction: Twenty Years of Describing the Problem</w:t>
      </w:r>
    </w:p>
    <w:p>
      <w:pPr>
        <w:spacing w:before="60" w:after="100"/>
      </w:pPr>
      <w:r>
        <w:rPr>
          <w:rFonts w:ascii="Arial" w:cs="Arial" w:eastAsia="Arial" w:hAnsi="Arial"/>
          <w:color w:val="333333"/>
          <w:sz w:val="22"/>
          <w:szCs w:val="22"/>
        </w:rPr>
        <w:t xml:space="preserve">The internet has been governed by the powerful for as long as it has existed. First by the US Department of Defense. Then by American academic engineers. Then by American corporations. Then by a loose coalition of states, corporations, and technical bodies who mostly agreed not to get in each other’s way while users paid the price.</w:t>
      </w:r>
    </w:p>
    <w:p>
      <w:pPr>
        <w:spacing w:before="60" w:after="100"/>
      </w:pPr>
      <w:r>
        <w:rPr>
          <w:rFonts w:ascii="Arial" w:cs="Arial" w:eastAsia="Arial" w:hAnsi="Arial"/>
          <w:color w:val="333333"/>
          <w:sz w:val="22"/>
          <w:szCs w:val="22"/>
        </w:rPr>
        <w:t xml:space="preserve">Between 2003 and 2024, a series of conferences attempted to change this. They named the problems correctly: surveillance without consent, commercial exploitation of private behaviour, algorithmic manipulation of public discourse, the absence of user rights, the absence of democratic accountability. They wrote the principles. They signed the statements. They gave speeches.</w:t>
      </w:r>
    </w:p>
    <w:p>
      <w:pPr>
        <w:spacing w:before="60" w:after="100"/>
      </w:pPr>
      <w:r>
        <w:rPr>
          <w:rFonts w:ascii="Arial" w:cs="Arial" w:eastAsia="Arial" w:hAnsi="Arial"/>
          <w:color w:val="333333"/>
          <w:sz w:val="22"/>
          <w:szCs w:val="22"/>
        </w:rPr>
        <w:t xml:space="preserve">Nothing was enforced. Nothing was built. The surveillance expanded. The monopolies tightened. The users got less private, less in control, and less protected with each passing year.</w:t>
      </w:r>
    </w:p>
    <w:p>
      <w:pPr>
        <w:spacing w:before="60" w:after="100"/>
      </w:pPr>
      <w:r>
        <w:rPr>
          <w:rFonts w:ascii="Arial" w:cs="Arial" w:eastAsia="Arial" w:hAnsi="Arial"/>
          <w:color w:val="333333"/>
          <w:sz w:val="22"/>
          <w:szCs w:val="22"/>
        </w:rPr>
        <w:t xml:space="preserve">This paper does two things. First, it assesses each major conference honestly — what they got right, what they got wrong, and what their fundamental failures were. Second, it argues that the answer to twenty years of conference governance is not a better conference. It is a working demonstration: build the internet the conferences were describing, run it publicly, and make the architecture itself the argument.</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i/>
                <w:iCs/>
                <w:color w:val="0d0d1a"/>
                <w:sz w:val="22"/>
                <w:szCs w:val="22"/>
              </w:rPr>
              <w:t xml:space="preserve">The conferences got the principles right. They got everything else wrong. The answer is not more principles. It is a platform that proves the principles can run.</w:t>
            </w:r>
          </w:p>
        </w:tc>
      </w:tr>
    </w:tbl>
    <w:p>
      <w:pPr>
        <w:pBdr>
          <w:bottom w:val="single" w:color="1D9E75" w:sz="6" w:space="1"/>
        </w:pBdr>
        <w:spacing w:before="180" w:after="180"/>
      </w:pPr>
      <w:r>
        <w:t xml:space="preserve"/>
      </w:r>
    </w:p>
    <w:p>
      <w:r>
        <w:br w:type="page"/>
      </w:r>
    </w:p>
    <w:p>
      <w:pPr>
        <w:pStyle w:val="Heading1"/>
        <w:spacing w:before="480" w:after="120"/>
      </w:pPr>
      <w:r>
        <w:rPr>
          <w:rFonts w:ascii="Arial" w:cs="Arial" w:eastAsia="Arial" w:hAnsi="Arial"/>
          <w:b/>
          <w:bCs/>
          <w:color w:val="0d0d1a"/>
          <w:sz w:val="40"/>
          <w:szCs w:val="40"/>
        </w:rPr>
        <w:t xml:space="preserve">Part One: The Conferences</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0d0d1a" w:val="clear"/>
            <w:tcMar>
              <w:top w:type="dxa" w:w="160"/>
              <w:left w:type="dxa" w:w="240"/>
              <w:bottom w:type="dxa" w:w="160"/>
              <w:right w:type="dxa" w:w="240"/>
            </w:tcMar>
          </w:tcPr>
          <w:p>
            <w:r>
              <w:rPr>
                <w:rFonts w:ascii="Arial" w:cs="Arial" w:eastAsia="Arial" w:hAnsi="Arial"/>
                <w:b/>
                <w:bCs/>
                <w:color w:val="FFFFFF"/>
                <w:sz w:val="30"/>
                <w:szCs w:val="30"/>
              </w:rPr>
              <w:t xml:space="preserve">WSIS — World Summit on the Information Society</w:t>
            </w:r>
          </w:p>
          <w:p>
            <w:pPr>
              <w:spacing w:before="40"/>
            </w:pPr>
            <w:r>
              <w:rPr>
                <w:rFonts w:ascii="Arial" w:cs="Arial" w:eastAsia="Arial" w:hAnsi="Arial"/>
                <w:color w:val="DDDDDD"/>
                <w:sz w:val="19"/>
                <w:szCs w:val="19"/>
              </w:rPr>
              <w:t xml:space="preserve">Geneva 2003 — Tunis 2005 — United Nations</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27500A" w:val="clear"/>
            <w:tcMar>
              <w:top w:type="dxa" w:w="80"/>
              <w:left w:type="dxa" w:w="160"/>
              <w:bottom w:type="dxa" w:w="80"/>
              <w:right w:type="dxa" w:w="160"/>
            </w:tcMar>
          </w:tcPr>
          <w:p>
            <w:r>
              <w:rPr>
                <w:rFonts w:ascii="Arial" w:cs="Arial" w:eastAsia="Arial" w:hAnsi="Arial"/>
                <w:b/>
                <w:bCs/>
                <w:color w:val="FFFFFF"/>
                <w:sz w:val="20"/>
                <w:szCs w:val="20"/>
              </w:rPr>
              <w:t xml:space="preserve">What they got right</w:t>
            </w:r>
          </w:p>
        </w:tc>
        <w:tc>
          <w:tcPr>
            <w:tcW w:type="dxa" w:w="4680"/>
            <w:tcBorders>
              <w:top w:val="single" w:color="CCCCCC" w:sz="1"/>
              <w:left w:val="single" w:color="CCCCCC" w:sz="1"/>
              <w:bottom w:val="single" w:color="CCCCCC" w:sz="1"/>
              <w:right w:val="single" w:color="CCCCCC" w:sz="1"/>
            </w:tcBorders>
            <w:shd w:fill="993C1D" w:val="clear"/>
            <w:tcMar>
              <w:top w:type="dxa" w:w="80"/>
              <w:left w:type="dxa" w:w="160"/>
              <w:bottom w:type="dxa" w:w="80"/>
              <w:right w:type="dxa" w:w="160"/>
            </w:tcMar>
          </w:tcPr>
          <w:p>
            <w:r>
              <w:rPr>
                <w:rFonts w:ascii="Arial" w:cs="Arial" w:eastAsia="Arial" w:hAnsi="Arial"/>
                <w:b/>
                <w:bCs/>
                <w:color w:val="FFFFFF"/>
                <w:sz w:val="20"/>
                <w:szCs w:val="20"/>
              </w:rPr>
              <w:t xml:space="preserve">What they got wrong</w:t>
            </w:r>
          </w:p>
        </w:tc>
      </w:tr>
      <w:tr>
        <w:tc>
          <w:tcPr>
            <w:tcW w:type="dxa" w:w="4680"/>
            <w:tcBorders>
              <w:top w:val="single" w:color="CCCCCC" w:sz="1"/>
              <w:left w:val="single" w:color="CCCCCC" w:sz="1"/>
              <w:bottom w:val="single" w:color="CCCCCC" w:sz="1"/>
              <w:right w:val="single" w:color="CCCCCC" w:sz="1"/>
            </w:tcBorders>
            <w:shd w:fill="F0FAF5" w:val="clear"/>
            <w:tcMar>
              <w:top w:type="dxa" w:w="100"/>
              <w:left w:type="dxa" w:w="160"/>
              <w:bottom w:type="dxa" w:w="100"/>
              <w:right w:type="dxa" w:w="160"/>
            </w:tcMar>
          </w:tcPr>
          <w:p>
            <w:pPr>
              <w:pStyle w:val="ListParagraph"/>
              <w:numPr>
                <w:ilvl w:val="0"/>
                <w:numId w:val="2"/>
              </w:numPr>
              <w:spacing w:before="30" w:after="30"/>
            </w:pPr>
            <w:r>
              <w:rPr>
                <w:rFonts w:ascii="Arial" w:cs="Arial" w:eastAsia="Arial" w:hAnsi="Arial"/>
                <w:color w:val="1a3a1a"/>
                <w:sz w:val="20"/>
                <w:szCs w:val="20"/>
              </w:rPr>
              <w:t xml:space="preserve">First global attempt to establish internet governance principles</w:t>
            </w:r>
          </w:p>
          <w:p>
            <w:pPr>
              <w:pStyle w:val="ListParagraph"/>
              <w:numPr>
                <w:ilvl w:val="0"/>
                <w:numId w:val="2"/>
              </w:numPr>
              <w:spacing w:before="30" w:after="30"/>
            </w:pPr>
            <w:r>
              <w:rPr>
                <w:rFonts w:ascii="Arial" w:cs="Arial" w:eastAsia="Arial" w:hAnsi="Arial"/>
                <w:color w:val="1a3a1a"/>
                <w:sz w:val="20"/>
                <w:szCs w:val="20"/>
              </w:rPr>
              <w:t xml:space="preserve">Established the Internet Governance Forum as a permanent dialogue space</w:t>
            </w:r>
          </w:p>
          <w:p>
            <w:pPr>
              <w:pStyle w:val="ListParagraph"/>
              <w:numPr>
                <w:ilvl w:val="0"/>
                <w:numId w:val="2"/>
              </w:numPr>
              <w:spacing w:before="30" w:after="30"/>
            </w:pPr>
            <w:r>
              <w:rPr>
                <w:rFonts w:ascii="Arial" w:cs="Arial" w:eastAsia="Arial" w:hAnsi="Arial"/>
                <w:color w:val="1a3a1a"/>
                <w:sz w:val="20"/>
                <w:szCs w:val="20"/>
              </w:rPr>
              <w:t xml:space="preserve">Recognised that internet access is linked to human development and rights</w:t>
            </w:r>
          </w:p>
          <w:p>
            <w:pPr>
              <w:pStyle w:val="ListParagraph"/>
              <w:numPr>
                <w:ilvl w:val="0"/>
                <w:numId w:val="2"/>
              </w:numPr>
              <w:spacing w:before="30" w:after="30"/>
            </w:pPr>
            <w:r>
              <w:rPr>
                <w:rFonts w:ascii="Arial" w:cs="Arial" w:eastAsia="Arial" w:hAnsi="Arial"/>
                <w:color w:val="1a3a1a"/>
                <w:sz w:val="20"/>
                <w:szCs w:val="20"/>
              </w:rPr>
              <w:t xml:space="preserve">Brought governments, civil society, and technical community to the same table</w:t>
            </w:r>
          </w:p>
          <w:p>
            <w:pPr>
              <w:pStyle w:val="ListParagraph"/>
              <w:numPr>
                <w:ilvl w:val="0"/>
                <w:numId w:val="2"/>
              </w:numPr>
              <w:spacing w:before="30" w:after="30"/>
            </w:pPr>
            <w:r>
              <w:rPr>
                <w:rFonts w:ascii="Arial" w:cs="Arial" w:eastAsia="Arial" w:hAnsi="Arial"/>
                <w:color w:val="1a3a1a"/>
                <w:sz w:val="20"/>
                <w:szCs w:val="20"/>
              </w:rPr>
              <w:t xml:space="preserve">Tunis Agenda articulated principles of openness, inclusion, and participation</w:t>
            </w:r>
          </w:p>
          <w:p>
            <w:pPr>
              <w:pStyle w:val="ListParagraph"/>
              <w:numPr>
                <w:ilvl w:val="0"/>
                <w:numId w:val="2"/>
              </w:numPr>
              <w:spacing w:before="30" w:after="30"/>
            </w:pPr>
            <w:r>
              <w:rPr>
                <w:rFonts w:ascii="Arial" w:cs="Arial" w:eastAsia="Arial" w:hAnsi="Arial"/>
                <w:color w:val="1a3a1a"/>
                <w:sz w:val="20"/>
                <w:szCs w:val="20"/>
              </w:rPr>
              <w:t xml:space="preserve">Created the WSIS+20 review process to hold itself accountable over time</w:t>
            </w:r>
          </w:p>
        </w:tc>
        <w:tc>
          <w:tcPr>
            <w:tcW w:type="dxa" w:w="4680"/>
            <w:tcBorders>
              <w:top w:val="single" w:color="CCCCCC" w:sz="1"/>
              <w:left w:val="single" w:color="CCCCCC" w:sz="1"/>
              <w:bottom w:val="single" w:color="CCCCCC" w:sz="1"/>
              <w:right w:val="single" w:color="CCCCCC" w:sz="1"/>
            </w:tcBorders>
            <w:shd w:fill="FFF5F5" w:val="clear"/>
            <w:tcMar>
              <w:top w:type="dxa" w:w="100"/>
              <w:left w:type="dxa" w:w="160"/>
              <w:bottom w:type="dxa" w:w="100"/>
              <w:right w:type="dxa" w:w="160"/>
            </w:tcMar>
          </w:tcPr>
          <w:p>
            <w:pPr>
              <w:pStyle w:val="ListParagraph"/>
              <w:numPr>
                <w:ilvl w:val="0"/>
                <w:numId w:val="2"/>
              </w:numPr>
              <w:spacing w:before="30" w:after="30"/>
            </w:pPr>
            <w:r>
              <w:rPr>
                <w:rFonts w:ascii="Arial" w:cs="Arial" w:eastAsia="Arial" w:hAnsi="Arial"/>
                <w:color w:val="3a1a1a"/>
                <w:sz w:val="20"/>
                <w:szCs w:val="20"/>
              </w:rPr>
              <w:t xml:space="preserve">Produced no binding agreements on anything</w:t>
            </w:r>
          </w:p>
          <w:p>
            <w:pPr>
              <w:pStyle w:val="ListParagraph"/>
              <w:numPr>
                <w:ilvl w:val="0"/>
                <w:numId w:val="2"/>
              </w:numPr>
              <w:spacing w:before="30" w:after="30"/>
            </w:pPr>
            <w:r>
              <w:rPr>
                <w:rFonts w:ascii="Arial" w:cs="Arial" w:eastAsia="Arial" w:hAnsi="Arial"/>
                <w:color w:val="3a1a1a"/>
                <w:sz w:val="20"/>
                <w:szCs w:val="20"/>
              </w:rPr>
              <w:t xml:space="preserve">US retained full control of ICANN — the core governance dispute was unresolved</w:t>
            </w:r>
          </w:p>
          <w:p>
            <w:pPr>
              <w:pStyle w:val="ListParagraph"/>
              <w:numPr>
                <w:ilvl w:val="0"/>
                <w:numId w:val="2"/>
              </w:numPr>
              <w:spacing w:before="30" w:after="30"/>
            </w:pPr>
            <w:r>
              <w:rPr>
                <w:rFonts w:ascii="Arial" w:cs="Arial" w:eastAsia="Arial" w:hAnsi="Arial"/>
                <w:color w:val="3a1a1a"/>
                <w:sz w:val="20"/>
                <w:szCs w:val="20"/>
              </w:rPr>
              <w:t xml:space="preserve">Civil society was present but powerless in actual decision-making</w:t>
            </w:r>
          </w:p>
          <w:p>
            <w:pPr>
              <w:pStyle w:val="ListParagraph"/>
              <w:numPr>
                <w:ilvl w:val="0"/>
                <w:numId w:val="2"/>
              </w:numPr>
              <w:spacing w:before="30" w:after="30"/>
            </w:pPr>
            <w:r>
              <w:rPr>
                <w:rFonts w:ascii="Arial" w:cs="Arial" w:eastAsia="Arial" w:hAnsi="Arial"/>
                <w:color w:val="3a1a1a"/>
                <w:sz w:val="20"/>
                <w:szCs w:val="20"/>
              </w:rPr>
              <w:t xml:space="preserve">The IGF was deliberately created without authority in order to achieve consensus on its creation</w:t>
            </w:r>
          </w:p>
          <w:p>
            <w:pPr>
              <w:pStyle w:val="ListParagraph"/>
              <w:numPr>
                <w:ilvl w:val="0"/>
                <w:numId w:val="2"/>
              </w:numPr>
              <w:spacing w:before="30" w:after="30"/>
            </w:pPr>
            <w:r>
              <w:rPr>
                <w:rFonts w:ascii="Arial" w:cs="Arial" w:eastAsia="Arial" w:hAnsi="Arial"/>
                <w:color w:val="3a1a1a"/>
                <w:sz w:val="20"/>
                <w:szCs w:val="20"/>
              </w:rPr>
              <w:t xml:space="preserve">Surveillance and user rights were barely discussed</w:t>
            </w:r>
          </w:p>
          <w:p>
            <w:pPr>
              <w:pStyle w:val="ListParagraph"/>
              <w:numPr>
                <w:ilvl w:val="0"/>
                <w:numId w:val="2"/>
              </w:numPr>
              <w:spacing w:before="30" w:after="30"/>
            </w:pPr>
            <w:r>
              <w:rPr>
                <w:rFonts w:ascii="Arial" w:cs="Arial" w:eastAsia="Arial" w:hAnsi="Arial"/>
                <w:color w:val="3a1a1a"/>
                <w:sz w:val="20"/>
                <w:szCs w:val="20"/>
              </w:rPr>
              <w:t xml:space="preserve">Developing world interests heard but not acted upon</w:t>
            </w:r>
          </w:p>
        </w:tc>
      </w:tr>
      <w:tr>
        <w:tc>
          <w:tcPr>
            <w:tcW w:type="dxa" w:w="9360"/>
            <w:gridSpan w:val="2"/>
            <w:tcBorders>
              <w:top w:val="single" w:color="CCCCCC" w:sz="1"/>
              <w:left w:val="single" w:color="CCCCCC" w:sz="1"/>
              <w:bottom w:val="single" w:color="CCCCCC" w:sz="1"/>
              <w:right w:val="single" w:color="CCCCCC" w:sz="1"/>
            </w:tcBorders>
            <w:shd w:fill="F1EFE8" w:val="clear"/>
            <w:tcMar>
              <w:top w:type="dxa" w:w="100"/>
              <w:left w:type="dxa" w:w="200"/>
              <w:bottom w:type="dxa" w:w="100"/>
              <w:right w:type="dxa" w:w="200"/>
            </w:tcMar>
          </w:tcPr>
          <w:p>
            <w:r>
              <w:rPr>
                <w:rFonts w:ascii="Arial" w:cs="Arial" w:eastAsia="Arial" w:hAnsi="Arial"/>
                <w:b/>
                <w:bCs/>
                <w:color w:val="0d0d1a"/>
                <w:sz w:val="20"/>
                <w:szCs w:val="20"/>
              </w:rPr>
              <w:t xml:space="preserve">Verdict: </w:t>
            </w:r>
            <w:r>
              <w:rPr>
                <w:rFonts w:ascii="Arial" w:cs="Arial" w:eastAsia="Arial" w:hAnsi="Arial"/>
                <w:color w:val="0d0d1a"/>
                <w:sz w:val="20"/>
                <w:szCs w:val="20"/>
              </w:rPr>
              <w:t xml:space="preserve">WSIS established the table and the vocabulary. It did not seat everyone equally or give anyone the authority to act. The IGF it created is still running twenty years later — still talking, still without binding authority.</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185FA5" w:val="clear"/>
            <w:tcMar>
              <w:top w:type="dxa" w:w="160"/>
              <w:left w:type="dxa" w:w="240"/>
              <w:bottom w:type="dxa" w:w="160"/>
              <w:right w:type="dxa" w:w="240"/>
            </w:tcMar>
          </w:tcPr>
          <w:p>
            <w:r>
              <w:rPr>
                <w:rFonts w:ascii="Arial" w:cs="Arial" w:eastAsia="Arial" w:hAnsi="Arial"/>
                <w:b/>
                <w:bCs/>
                <w:color w:val="FFFFFF"/>
                <w:sz w:val="30"/>
                <w:szCs w:val="30"/>
              </w:rPr>
              <w:t xml:space="preserve">WCIT-12 — World Conference on International Telecommunications</w:t>
            </w:r>
          </w:p>
          <w:p>
            <w:pPr>
              <w:spacing w:before="40"/>
            </w:pPr>
            <w:r>
              <w:rPr>
                <w:rFonts w:ascii="Arial" w:cs="Arial" w:eastAsia="Arial" w:hAnsi="Arial"/>
                <w:color w:val="DDDDDD"/>
                <w:sz w:val="19"/>
                <w:szCs w:val="19"/>
              </w:rPr>
              <w:t xml:space="preserve">Dubai, December 2012 — International Telecommunication Union</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27500A" w:val="clear"/>
            <w:tcMar>
              <w:top w:type="dxa" w:w="80"/>
              <w:left w:type="dxa" w:w="160"/>
              <w:bottom w:type="dxa" w:w="80"/>
              <w:right w:type="dxa" w:w="160"/>
            </w:tcMar>
          </w:tcPr>
          <w:p>
            <w:r>
              <w:rPr>
                <w:rFonts w:ascii="Arial" w:cs="Arial" w:eastAsia="Arial" w:hAnsi="Arial"/>
                <w:b/>
                <w:bCs/>
                <w:color w:val="FFFFFF"/>
                <w:sz w:val="20"/>
                <w:szCs w:val="20"/>
              </w:rPr>
              <w:t xml:space="preserve">What they got right</w:t>
            </w:r>
          </w:p>
        </w:tc>
        <w:tc>
          <w:tcPr>
            <w:tcW w:type="dxa" w:w="4680"/>
            <w:tcBorders>
              <w:top w:val="single" w:color="CCCCCC" w:sz="1"/>
              <w:left w:val="single" w:color="CCCCCC" w:sz="1"/>
              <w:bottom w:val="single" w:color="CCCCCC" w:sz="1"/>
              <w:right w:val="single" w:color="CCCCCC" w:sz="1"/>
            </w:tcBorders>
            <w:shd w:fill="993C1D" w:val="clear"/>
            <w:tcMar>
              <w:top w:type="dxa" w:w="80"/>
              <w:left w:type="dxa" w:w="160"/>
              <w:bottom w:type="dxa" w:w="80"/>
              <w:right w:type="dxa" w:w="160"/>
            </w:tcMar>
          </w:tcPr>
          <w:p>
            <w:r>
              <w:rPr>
                <w:rFonts w:ascii="Arial" w:cs="Arial" w:eastAsia="Arial" w:hAnsi="Arial"/>
                <w:b/>
                <w:bCs/>
                <w:color w:val="FFFFFF"/>
                <w:sz w:val="20"/>
                <w:szCs w:val="20"/>
              </w:rPr>
              <w:t xml:space="preserve">What they got wrong</w:t>
            </w:r>
          </w:p>
        </w:tc>
      </w:tr>
      <w:tr>
        <w:tc>
          <w:tcPr>
            <w:tcW w:type="dxa" w:w="4680"/>
            <w:tcBorders>
              <w:top w:val="single" w:color="CCCCCC" w:sz="1"/>
              <w:left w:val="single" w:color="CCCCCC" w:sz="1"/>
              <w:bottom w:val="single" w:color="CCCCCC" w:sz="1"/>
              <w:right w:val="single" w:color="CCCCCC" w:sz="1"/>
            </w:tcBorders>
            <w:shd w:fill="F0FAF5" w:val="clear"/>
            <w:tcMar>
              <w:top w:type="dxa" w:w="100"/>
              <w:left w:type="dxa" w:w="160"/>
              <w:bottom w:type="dxa" w:w="100"/>
              <w:right w:type="dxa" w:w="160"/>
            </w:tcMar>
          </w:tcPr>
          <w:p>
            <w:pPr>
              <w:pStyle w:val="ListParagraph"/>
              <w:numPr>
                <w:ilvl w:val="0"/>
                <w:numId w:val="2"/>
              </w:numPr>
              <w:spacing w:before="30" w:after="30"/>
            </w:pPr>
            <w:r>
              <w:rPr>
                <w:rFonts w:ascii="Arial" w:cs="Arial" w:eastAsia="Arial" w:hAnsi="Arial"/>
                <w:color w:val="1a3a1a"/>
                <w:sz w:val="20"/>
                <w:szCs w:val="20"/>
              </w:rPr>
              <w:t xml:space="preserve">Exposed the deep fault line between democratic and authoritarian models of internet governance</w:t>
            </w:r>
          </w:p>
          <w:p>
            <w:pPr>
              <w:pStyle w:val="ListParagraph"/>
              <w:numPr>
                <w:ilvl w:val="0"/>
                <w:numId w:val="2"/>
              </w:numPr>
              <w:spacing w:before="30" w:after="30"/>
            </w:pPr>
            <w:r>
              <w:rPr>
                <w:rFonts w:ascii="Arial" w:cs="Arial" w:eastAsia="Arial" w:hAnsi="Arial"/>
                <w:color w:val="1a3a1a"/>
                <w:sz w:val="20"/>
                <w:szCs w:val="20"/>
              </w:rPr>
              <w:t xml:space="preserve">Proposals by Russia and China to extend ITU treaty authority to the internet were rejected</w:t>
            </w:r>
          </w:p>
          <w:p>
            <w:pPr>
              <w:pStyle w:val="ListParagraph"/>
              <w:numPr>
                <w:ilvl w:val="0"/>
                <w:numId w:val="2"/>
              </w:numPr>
              <w:spacing w:before="30" w:after="30"/>
            </w:pPr>
            <w:r>
              <w:rPr>
                <w:rFonts w:ascii="Arial" w:cs="Arial" w:eastAsia="Arial" w:hAnsi="Arial"/>
                <w:color w:val="1a3a1a"/>
                <w:sz w:val="20"/>
                <w:szCs w:val="20"/>
              </w:rPr>
              <w:t xml:space="preserve">Galvanised civil society and the technical community to actively resist state overreach</w:t>
            </w:r>
          </w:p>
          <w:p>
            <w:pPr>
              <w:pStyle w:val="ListParagraph"/>
              <w:numPr>
                <w:ilvl w:val="0"/>
                <w:numId w:val="2"/>
              </w:numPr>
              <w:spacing w:before="30" w:after="30"/>
            </w:pPr>
            <w:r>
              <w:rPr>
                <w:rFonts w:ascii="Arial" w:cs="Arial" w:eastAsia="Arial" w:hAnsi="Arial"/>
                <w:color w:val="1a3a1a"/>
                <w:sz w:val="20"/>
                <w:szCs w:val="20"/>
              </w:rPr>
              <w:t xml:space="preserve">Made previously invisible ITU processes legible to press and public</w:t>
            </w:r>
          </w:p>
          <w:p>
            <w:pPr>
              <w:pStyle w:val="ListParagraph"/>
              <w:numPr>
                <w:ilvl w:val="0"/>
                <w:numId w:val="2"/>
              </w:numPr>
              <w:spacing w:before="30" w:after="30"/>
            </w:pPr>
            <w:r>
              <w:rPr>
                <w:rFonts w:ascii="Arial" w:cs="Arial" w:eastAsia="Arial" w:hAnsi="Arial"/>
                <w:color w:val="1a3a1a"/>
                <w:sz w:val="20"/>
                <w:szCs w:val="20"/>
              </w:rPr>
              <w:t xml:space="preserve">Demonstrated that US and EU could coordinate to defend open internet architecture</w:t>
            </w:r>
          </w:p>
        </w:tc>
        <w:tc>
          <w:tcPr>
            <w:tcW w:type="dxa" w:w="4680"/>
            <w:tcBorders>
              <w:top w:val="single" w:color="CCCCCC" w:sz="1"/>
              <w:left w:val="single" w:color="CCCCCC" w:sz="1"/>
              <w:bottom w:val="single" w:color="CCCCCC" w:sz="1"/>
              <w:right w:val="single" w:color="CCCCCC" w:sz="1"/>
            </w:tcBorders>
            <w:shd w:fill="FFF5F5" w:val="clear"/>
            <w:tcMar>
              <w:top w:type="dxa" w:w="100"/>
              <w:left w:type="dxa" w:w="160"/>
              <w:bottom w:type="dxa" w:w="100"/>
              <w:right w:type="dxa" w:w="160"/>
            </w:tcMar>
          </w:tcPr>
          <w:p>
            <w:pPr>
              <w:pStyle w:val="ListParagraph"/>
              <w:numPr>
                <w:ilvl w:val="0"/>
                <w:numId w:val="2"/>
              </w:numPr>
              <w:spacing w:before="30" w:after="30"/>
            </w:pPr>
            <w:r>
              <w:rPr>
                <w:rFonts w:ascii="Arial" w:cs="Arial" w:eastAsia="Arial" w:hAnsi="Arial"/>
                <w:color w:val="3a1a1a"/>
                <w:sz w:val="20"/>
                <w:szCs w:val="20"/>
              </w:rPr>
              <w:t xml:space="preserve">55 of 144 nations refused to sign, fracturing international consensus entirely</w:t>
            </w:r>
          </w:p>
          <w:p>
            <w:pPr>
              <w:pStyle w:val="ListParagraph"/>
              <w:numPr>
                <w:ilvl w:val="0"/>
                <w:numId w:val="2"/>
              </w:numPr>
              <w:spacing w:before="30" w:after="30"/>
            </w:pPr>
            <w:r>
              <w:rPr>
                <w:rFonts w:ascii="Arial" w:cs="Arial" w:eastAsia="Arial" w:hAnsi="Arial"/>
                <w:color w:val="3a1a1a"/>
                <w:sz w:val="20"/>
                <w:szCs w:val="20"/>
              </w:rPr>
              <w:t xml:space="preserve">No resolution on the fundamental question: who governs the internet?</w:t>
            </w:r>
          </w:p>
          <w:p>
            <w:pPr>
              <w:pStyle w:val="ListParagraph"/>
              <w:numPr>
                <w:ilvl w:val="0"/>
                <w:numId w:val="2"/>
              </w:numPr>
              <w:spacing w:before="30" w:after="30"/>
            </w:pPr>
            <w:r>
              <w:rPr>
                <w:rFonts w:ascii="Arial" w:cs="Arial" w:eastAsia="Arial" w:hAnsi="Arial"/>
                <w:color w:val="3a1a1a"/>
                <w:sz w:val="20"/>
                <w:szCs w:val="20"/>
              </w:rPr>
              <w:t xml:space="preserve">Authoritarian nations continued building alternative infrastructure in parallel</w:t>
            </w:r>
          </w:p>
          <w:p>
            <w:pPr>
              <w:pStyle w:val="ListParagraph"/>
              <w:numPr>
                <w:ilvl w:val="0"/>
                <w:numId w:val="2"/>
              </w:numPr>
              <w:spacing w:before="30" w:after="30"/>
            </w:pPr>
            <w:r>
              <w:rPr>
                <w:rFonts w:ascii="Arial" w:cs="Arial" w:eastAsia="Arial" w:hAnsi="Arial"/>
                <w:color w:val="3a1a1a"/>
                <w:sz w:val="20"/>
                <w:szCs w:val="20"/>
              </w:rPr>
              <w:t xml:space="preserve">User rights were not on the agenda at all — this was governments and telecoms only</w:t>
            </w:r>
          </w:p>
          <w:p>
            <w:pPr>
              <w:pStyle w:val="ListParagraph"/>
              <w:numPr>
                <w:ilvl w:val="0"/>
                <w:numId w:val="2"/>
              </w:numPr>
              <w:spacing w:before="30" w:after="30"/>
            </w:pPr>
            <w:r>
              <w:rPr>
                <w:rFonts w:ascii="Arial" w:cs="Arial" w:eastAsia="Arial" w:hAnsi="Arial"/>
                <w:color w:val="3a1a1a"/>
                <w:sz w:val="20"/>
                <w:szCs w:val="20"/>
              </w:rPr>
              <w:t xml:space="preserve">The walkout felt like a win but resolved nothing; the same fight resumed at every forum after</w:t>
            </w:r>
          </w:p>
        </w:tc>
      </w:tr>
      <w:tr>
        <w:tc>
          <w:tcPr>
            <w:tcW w:type="dxa" w:w="9360"/>
            <w:gridSpan w:val="2"/>
            <w:tcBorders>
              <w:top w:val="single" w:color="CCCCCC" w:sz="1"/>
              <w:left w:val="single" w:color="CCCCCC" w:sz="1"/>
              <w:bottom w:val="single" w:color="CCCCCC" w:sz="1"/>
              <w:right w:val="single" w:color="CCCCCC" w:sz="1"/>
            </w:tcBorders>
            <w:shd w:fill="E6F1FB" w:val="clear"/>
            <w:tcMar>
              <w:top w:type="dxa" w:w="100"/>
              <w:left w:type="dxa" w:w="200"/>
              <w:bottom w:type="dxa" w:w="100"/>
              <w:right w:type="dxa" w:w="200"/>
            </w:tcMar>
          </w:tcPr>
          <w:p>
            <w:r>
              <w:rPr>
                <w:rFonts w:ascii="Arial" w:cs="Arial" w:eastAsia="Arial" w:hAnsi="Arial"/>
                <w:b/>
                <w:bCs/>
                <w:color w:val="185FA5"/>
                <w:sz w:val="20"/>
                <w:szCs w:val="20"/>
              </w:rPr>
              <w:t xml:space="preserve">Verdict: </w:t>
            </w:r>
            <w:r>
              <w:rPr>
                <w:rFonts w:ascii="Arial" w:cs="Arial" w:eastAsia="Arial" w:hAnsi="Arial"/>
                <w:color w:val="0d0d1a"/>
                <w:sz w:val="20"/>
                <w:szCs w:val="20"/>
              </w:rPr>
              <w:t xml:space="preserve">WCIT-12 was a near miss. The open internet survived the conference. The underlying power struggle did not end. Russia and China simply took the fight elsewhere.</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1D9E75" w:val="clear"/>
            <w:tcMar>
              <w:top w:type="dxa" w:w="160"/>
              <w:left w:type="dxa" w:w="240"/>
              <w:bottom w:type="dxa" w:w="160"/>
              <w:right w:type="dxa" w:w="240"/>
            </w:tcMar>
          </w:tcPr>
          <w:p>
            <w:r>
              <w:rPr>
                <w:rFonts w:ascii="Arial" w:cs="Arial" w:eastAsia="Arial" w:hAnsi="Arial"/>
                <w:b/>
                <w:bCs/>
                <w:color w:val="FFFFFF"/>
                <w:sz w:val="30"/>
                <w:szCs w:val="30"/>
              </w:rPr>
              <w:t xml:space="preserve">NETmundial — Global Multistakeholder Meeting on the Future of Internet Governance</w:t>
            </w:r>
          </w:p>
          <w:p>
            <w:pPr>
              <w:spacing w:before="40"/>
            </w:pPr>
            <w:r>
              <w:rPr>
                <w:rFonts w:ascii="Arial" w:cs="Arial" w:eastAsia="Arial" w:hAnsi="Arial"/>
                <w:color w:val="DDDDDD"/>
                <w:sz w:val="19"/>
                <w:szCs w:val="19"/>
              </w:rPr>
              <w:t xml:space="preserve">São Paulo, Brazil, April 2014 — Brazil and ICANN</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27500A" w:val="clear"/>
            <w:tcMar>
              <w:top w:type="dxa" w:w="80"/>
              <w:left w:type="dxa" w:w="160"/>
              <w:bottom w:type="dxa" w:w="80"/>
              <w:right w:type="dxa" w:w="160"/>
            </w:tcMar>
          </w:tcPr>
          <w:p>
            <w:r>
              <w:rPr>
                <w:rFonts w:ascii="Arial" w:cs="Arial" w:eastAsia="Arial" w:hAnsi="Arial"/>
                <w:b/>
                <w:bCs/>
                <w:color w:val="FFFFFF"/>
                <w:sz w:val="20"/>
                <w:szCs w:val="20"/>
              </w:rPr>
              <w:t xml:space="preserve">What they got right</w:t>
            </w:r>
          </w:p>
        </w:tc>
        <w:tc>
          <w:tcPr>
            <w:tcW w:type="dxa" w:w="4680"/>
            <w:tcBorders>
              <w:top w:val="single" w:color="CCCCCC" w:sz="1"/>
              <w:left w:val="single" w:color="CCCCCC" w:sz="1"/>
              <w:bottom w:val="single" w:color="CCCCCC" w:sz="1"/>
              <w:right w:val="single" w:color="CCCCCC" w:sz="1"/>
            </w:tcBorders>
            <w:shd w:fill="993C1D" w:val="clear"/>
            <w:tcMar>
              <w:top w:type="dxa" w:w="80"/>
              <w:left w:type="dxa" w:w="160"/>
              <w:bottom w:type="dxa" w:w="80"/>
              <w:right w:type="dxa" w:w="160"/>
            </w:tcMar>
          </w:tcPr>
          <w:p>
            <w:r>
              <w:rPr>
                <w:rFonts w:ascii="Arial" w:cs="Arial" w:eastAsia="Arial" w:hAnsi="Arial"/>
                <w:b/>
                <w:bCs/>
                <w:color w:val="FFFFFF"/>
                <w:sz w:val="20"/>
                <w:szCs w:val="20"/>
              </w:rPr>
              <w:t xml:space="preserve">What they got wrong</w:t>
            </w:r>
          </w:p>
        </w:tc>
      </w:tr>
      <w:tr>
        <w:tc>
          <w:tcPr>
            <w:tcW w:type="dxa" w:w="4680"/>
            <w:tcBorders>
              <w:top w:val="single" w:color="CCCCCC" w:sz="1"/>
              <w:left w:val="single" w:color="CCCCCC" w:sz="1"/>
              <w:bottom w:val="single" w:color="CCCCCC" w:sz="1"/>
              <w:right w:val="single" w:color="CCCCCC" w:sz="1"/>
            </w:tcBorders>
            <w:shd w:fill="F0FAF5" w:val="clear"/>
            <w:tcMar>
              <w:top w:type="dxa" w:w="100"/>
              <w:left w:type="dxa" w:w="160"/>
              <w:bottom w:type="dxa" w:w="100"/>
              <w:right w:type="dxa" w:w="160"/>
            </w:tcMar>
          </w:tcPr>
          <w:p>
            <w:pPr>
              <w:pStyle w:val="ListParagraph"/>
              <w:numPr>
                <w:ilvl w:val="0"/>
                <w:numId w:val="2"/>
              </w:numPr>
              <w:spacing w:before="30" w:after="30"/>
            </w:pPr>
            <w:r>
              <w:rPr>
                <w:rFonts w:ascii="Arial" w:cs="Arial" w:eastAsia="Arial" w:hAnsi="Arial"/>
                <w:color w:val="1a3a1a"/>
                <w:sz w:val="20"/>
                <w:szCs w:val="20"/>
              </w:rPr>
              <w:t xml:space="preserve">The most genuinely inclusive internet governance conference ever convened</w:t>
            </w:r>
          </w:p>
          <w:p>
            <w:pPr>
              <w:pStyle w:val="ListParagraph"/>
              <w:numPr>
                <w:ilvl w:val="0"/>
                <w:numId w:val="2"/>
              </w:numPr>
              <w:spacing w:before="30" w:after="30"/>
            </w:pPr>
            <w:r>
              <w:rPr>
                <w:rFonts w:ascii="Arial" w:cs="Arial" w:eastAsia="Arial" w:hAnsi="Arial"/>
                <w:color w:val="1a3a1a"/>
                <w:sz w:val="20"/>
                <w:szCs w:val="20"/>
              </w:rPr>
              <w:t xml:space="preserve">1,480 participants from 97 countries: governments, corporations, civil society, technologists on equal footing</w:t>
            </w:r>
          </w:p>
          <w:p>
            <w:pPr>
              <w:pStyle w:val="ListParagraph"/>
              <w:numPr>
                <w:ilvl w:val="0"/>
                <w:numId w:val="2"/>
              </w:numPr>
              <w:spacing w:before="30" w:after="30"/>
            </w:pPr>
            <w:r>
              <w:rPr>
                <w:rFonts w:ascii="Arial" w:cs="Arial" w:eastAsia="Arial" w:hAnsi="Arial"/>
                <w:color w:val="1a3a1a"/>
                <w:sz w:val="20"/>
                <w:szCs w:val="20"/>
              </w:rPr>
              <w:t xml:space="preserve">Produced the NETmundial Multistakeholder Statement: the closest thing to a global internet charter</w:t>
            </w:r>
          </w:p>
          <w:p>
            <w:pPr>
              <w:pStyle w:val="ListParagraph"/>
              <w:numPr>
                <w:ilvl w:val="0"/>
                <w:numId w:val="2"/>
              </w:numPr>
              <w:spacing w:before="30" w:after="30"/>
            </w:pPr>
            <w:r>
              <w:rPr>
                <w:rFonts w:ascii="Arial" w:cs="Arial" w:eastAsia="Arial" w:hAnsi="Arial"/>
                <w:color w:val="1a3a1a"/>
                <w:sz w:val="20"/>
                <w:szCs w:val="20"/>
              </w:rPr>
              <w:t xml:space="preserve">Brazil’s Marco Civil da Internet signed at opening — the best national model of user rights legislation in existence</w:t>
            </w:r>
          </w:p>
          <w:p>
            <w:pPr>
              <w:pStyle w:val="ListParagraph"/>
              <w:numPr>
                <w:ilvl w:val="0"/>
                <w:numId w:val="2"/>
              </w:numPr>
              <w:spacing w:before="30" w:after="30"/>
            </w:pPr>
            <w:r>
              <w:rPr>
                <w:rFonts w:ascii="Arial" w:cs="Arial" w:eastAsia="Arial" w:hAnsi="Arial"/>
                <w:color w:val="1a3a1a"/>
                <w:sz w:val="20"/>
                <w:szCs w:val="20"/>
              </w:rPr>
              <w:t xml:space="preserve">Demonstrated that multi-stakeholder governance can function at global scale</w:t>
            </w:r>
          </w:p>
          <w:p>
            <w:pPr>
              <w:pStyle w:val="ListParagraph"/>
              <w:numPr>
                <w:ilvl w:val="0"/>
                <w:numId w:val="2"/>
              </w:numPr>
              <w:spacing w:before="30" w:after="30"/>
            </w:pPr>
            <w:r>
              <w:rPr>
                <w:rFonts w:ascii="Arial" w:cs="Arial" w:eastAsia="Arial" w:hAnsi="Arial"/>
                <w:color w:val="1a3a1a"/>
                <w:sz w:val="20"/>
                <w:szCs w:val="20"/>
              </w:rPr>
              <w:t xml:space="preserve">Principles included human rights, transparency, accountability, open architecture</w:t>
            </w:r>
          </w:p>
          <w:p>
            <w:pPr>
              <w:pStyle w:val="ListParagraph"/>
              <w:numPr>
                <w:ilvl w:val="0"/>
                <w:numId w:val="2"/>
              </w:numPr>
              <w:spacing w:before="30" w:after="30"/>
            </w:pPr>
            <w:r>
              <w:rPr>
                <w:rFonts w:ascii="Arial" w:cs="Arial" w:eastAsia="Arial" w:hAnsi="Arial"/>
                <w:color w:val="1a3a1a"/>
                <w:sz w:val="20"/>
                <w:szCs w:val="20"/>
              </w:rPr>
              <w:t xml:space="preserve">US announced transition of ICANN oversight to the multi-stakeholder community</w:t>
            </w:r>
          </w:p>
        </w:tc>
        <w:tc>
          <w:tcPr>
            <w:tcW w:type="dxa" w:w="4680"/>
            <w:tcBorders>
              <w:top w:val="single" w:color="CCCCCC" w:sz="1"/>
              <w:left w:val="single" w:color="CCCCCC" w:sz="1"/>
              <w:bottom w:val="single" w:color="CCCCCC" w:sz="1"/>
              <w:right w:val="single" w:color="CCCCCC" w:sz="1"/>
            </w:tcBorders>
            <w:shd w:fill="FFF5F5" w:val="clear"/>
            <w:tcMar>
              <w:top w:type="dxa" w:w="100"/>
              <w:left w:type="dxa" w:w="160"/>
              <w:bottom w:type="dxa" w:w="100"/>
              <w:right w:type="dxa" w:w="160"/>
            </w:tcMar>
          </w:tcPr>
          <w:p>
            <w:pPr>
              <w:pStyle w:val="ListParagraph"/>
              <w:numPr>
                <w:ilvl w:val="0"/>
                <w:numId w:val="2"/>
              </w:numPr>
              <w:spacing w:before="30" w:after="30"/>
            </w:pPr>
            <w:r>
              <w:rPr>
                <w:rFonts w:ascii="Arial" w:cs="Arial" w:eastAsia="Arial" w:hAnsi="Arial"/>
                <w:color w:val="3a1a1a"/>
                <w:sz w:val="20"/>
                <w:szCs w:val="20"/>
              </w:rPr>
              <w:t xml:space="preserve">Outcome statement entirely non-binding — governments went home and did as they pleased</w:t>
            </w:r>
          </w:p>
          <w:p>
            <w:pPr>
              <w:pStyle w:val="ListParagraph"/>
              <w:numPr>
                <w:ilvl w:val="0"/>
                <w:numId w:val="2"/>
              </w:numPr>
              <w:spacing w:before="30" w:after="30"/>
            </w:pPr>
            <w:r>
              <w:rPr>
                <w:rFonts w:ascii="Arial" w:cs="Arial" w:eastAsia="Arial" w:hAnsi="Arial"/>
                <w:color w:val="3a1a1a"/>
                <w:sz w:val="20"/>
                <w:szCs w:val="20"/>
              </w:rPr>
              <w:t xml:space="preserve">Russia, India, and Cuba rejected the outcome, fracturing apparent consensus</w:t>
            </w:r>
          </w:p>
          <w:p>
            <w:pPr>
              <w:pStyle w:val="ListParagraph"/>
              <w:numPr>
                <w:ilvl w:val="0"/>
                <w:numId w:val="2"/>
              </w:numPr>
              <w:spacing w:before="30" w:after="30"/>
            </w:pPr>
            <w:r>
              <w:rPr>
                <w:rFonts w:ascii="Arial" w:cs="Arial" w:eastAsia="Arial" w:hAnsi="Arial"/>
                <w:color w:val="3a1a1a"/>
                <w:sz w:val="20"/>
                <w:szCs w:val="20"/>
              </w:rPr>
              <w:t xml:space="preserve">The NETmundial Initiative that followed gave three organisations permanent seats on its council — immediately resembling the UN Security Council it had just implicitly criticised</w:t>
            </w:r>
          </w:p>
          <w:p>
            <w:pPr>
              <w:pStyle w:val="ListParagraph"/>
              <w:numPr>
                <w:ilvl w:val="0"/>
                <w:numId w:val="2"/>
              </w:numPr>
              <w:spacing w:before="30" w:after="30"/>
            </w:pPr>
            <w:r>
              <w:rPr>
                <w:rFonts w:ascii="Arial" w:cs="Arial" w:eastAsia="Arial" w:hAnsi="Arial"/>
                <w:color w:val="3a1a1a"/>
                <w:sz w:val="20"/>
                <w:szCs w:val="20"/>
              </w:rPr>
              <w:t xml:space="preserve">Initiative was shut down within 18 months</w:t>
            </w:r>
          </w:p>
          <w:p>
            <w:pPr>
              <w:pStyle w:val="ListParagraph"/>
              <w:numPr>
                <w:ilvl w:val="0"/>
                <w:numId w:val="2"/>
              </w:numPr>
              <w:spacing w:before="30" w:after="30"/>
            </w:pPr>
            <w:r>
              <w:rPr>
                <w:rFonts w:ascii="Arial" w:cs="Arial" w:eastAsia="Arial" w:hAnsi="Arial"/>
                <w:color w:val="3a1a1a"/>
                <w:sz w:val="20"/>
                <w:szCs w:val="20"/>
              </w:rPr>
              <w:t xml:space="preserve">Surveillance was the catalyst for the conference but was barely addressed in the outcome</w:t>
            </w:r>
          </w:p>
          <w:p>
            <w:pPr>
              <w:pStyle w:val="ListParagraph"/>
              <w:numPr>
                <w:ilvl w:val="0"/>
                <w:numId w:val="2"/>
              </w:numPr>
              <w:spacing w:before="30" w:after="30"/>
            </w:pPr>
            <w:r>
              <w:rPr>
                <w:rFonts w:ascii="Arial" w:cs="Arial" w:eastAsia="Arial" w:hAnsi="Arial"/>
                <w:color w:val="3a1a1a"/>
                <w:sz w:val="20"/>
                <w:szCs w:val="20"/>
              </w:rPr>
              <w:t xml:space="preserve">Corporate surveillance not addressed at all — only state surveillance was named</w:t>
            </w:r>
          </w:p>
        </w:tc>
      </w:tr>
      <w:tr>
        <w:tc>
          <w:tcPr>
            <w:tcW w:type="dxa" w:w="9360"/>
            <w:gridSpan w:val="2"/>
            <w:tcBorders>
              <w:top w:val="single" w:color="CCCCCC" w:sz="1"/>
              <w:left w:val="single" w:color="CCCCCC" w:sz="1"/>
              <w:bottom w:val="single" w:color="CCCCCC" w:sz="1"/>
              <w:right w:val="single" w:color="CCCCCC" w:sz="1"/>
            </w:tcBorders>
            <w:shd w:fill="E1F5EE" w:val="clear"/>
            <w:tcMar>
              <w:top w:type="dxa" w:w="100"/>
              <w:left w:type="dxa" w:w="200"/>
              <w:bottom w:type="dxa" w:w="100"/>
              <w:right w:type="dxa" w:w="200"/>
            </w:tcMar>
          </w:tcPr>
          <w:p>
            <w:r>
              <w:rPr>
                <w:rFonts w:ascii="Arial" w:cs="Arial" w:eastAsia="Arial" w:hAnsi="Arial"/>
                <w:b/>
                <w:bCs/>
                <w:color w:val="1D9E75"/>
                <w:sz w:val="20"/>
                <w:szCs w:val="20"/>
              </w:rPr>
              <w:t xml:space="preserve">Verdict: </w:t>
            </w:r>
            <w:r>
              <w:rPr>
                <w:rFonts w:ascii="Arial" w:cs="Arial" w:eastAsia="Arial" w:hAnsi="Arial"/>
                <w:color w:val="0d0d1a"/>
                <w:sz w:val="20"/>
                <w:szCs w:val="20"/>
              </w:rPr>
              <w:t xml:space="preserve">NETmundial was the best attempt. It showed what was possible. The initiative that followed immediately replicated the power structures it had just criticised. The principles survive. The governance did not.</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854F0B" w:val="clear"/>
            <w:tcMar>
              <w:top w:type="dxa" w:w="160"/>
              <w:left w:type="dxa" w:w="240"/>
              <w:bottom w:type="dxa" w:w="160"/>
              <w:right w:type="dxa" w:w="240"/>
            </w:tcMar>
          </w:tcPr>
          <w:p>
            <w:r>
              <w:rPr>
                <w:rFonts w:ascii="Arial" w:cs="Arial" w:eastAsia="Arial" w:hAnsi="Arial"/>
                <w:b/>
                <w:bCs/>
                <w:color w:val="FFFFFF"/>
                <w:sz w:val="30"/>
                <w:szCs w:val="30"/>
              </w:rPr>
              <w:t xml:space="preserve">IGF — Internet Governance Forum (annual, 2006–present)</w:t>
            </w:r>
          </w:p>
          <w:p>
            <w:pPr>
              <w:spacing w:before="40"/>
            </w:pPr>
            <w:r>
              <w:rPr>
                <w:rFonts w:ascii="Arial" w:cs="Arial" w:eastAsia="Arial" w:hAnsi="Arial"/>
                <w:color w:val="DDDDDD"/>
                <w:sz w:val="19"/>
                <w:szCs w:val="19"/>
              </w:rPr>
              <w:t xml:space="preserve">Athens 2006 through Saudi Arabia 2024 — annual United Nations forum</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27500A" w:val="clear"/>
            <w:tcMar>
              <w:top w:type="dxa" w:w="80"/>
              <w:left w:type="dxa" w:w="160"/>
              <w:bottom w:type="dxa" w:w="80"/>
              <w:right w:type="dxa" w:w="160"/>
            </w:tcMar>
          </w:tcPr>
          <w:p>
            <w:r>
              <w:rPr>
                <w:rFonts w:ascii="Arial" w:cs="Arial" w:eastAsia="Arial" w:hAnsi="Arial"/>
                <w:b/>
                <w:bCs/>
                <w:color w:val="FFFFFF"/>
                <w:sz w:val="20"/>
                <w:szCs w:val="20"/>
              </w:rPr>
              <w:t xml:space="preserve">What they got right</w:t>
            </w:r>
          </w:p>
        </w:tc>
        <w:tc>
          <w:tcPr>
            <w:tcW w:type="dxa" w:w="4680"/>
            <w:tcBorders>
              <w:top w:val="single" w:color="CCCCCC" w:sz="1"/>
              <w:left w:val="single" w:color="CCCCCC" w:sz="1"/>
              <w:bottom w:val="single" w:color="CCCCCC" w:sz="1"/>
              <w:right w:val="single" w:color="CCCCCC" w:sz="1"/>
            </w:tcBorders>
            <w:shd w:fill="993C1D" w:val="clear"/>
            <w:tcMar>
              <w:top w:type="dxa" w:w="80"/>
              <w:left w:type="dxa" w:w="160"/>
              <w:bottom w:type="dxa" w:w="80"/>
              <w:right w:type="dxa" w:w="160"/>
            </w:tcMar>
          </w:tcPr>
          <w:p>
            <w:r>
              <w:rPr>
                <w:rFonts w:ascii="Arial" w:cs="Arial" w:eastAsia="Arial" w:hAnsi="Arial"/>
                <w:b/>
                <w:bCs/>
                <w:color w:val="FFFFFF"/>
                <w:sz w:val="20"/>
                <w:szCs w:val="20"/>
              </w:rPr>
              <w:t xml:space="preserve">What they got wrong</w:t>
            </w:r>
          </w:p>
        </w:tc>
      </w:tr>
      <w:tr>
        <w:tc>
          <w:tcPr>
            <w:tcW w:type="dxa" w:w="4680"/>
            <w:tcBorders>
              <w:top w:val="single" w:color="CCCCCC" w:sz="1"/>
              <w:left w:val="single" w:color="CCCCCC" w:sz="1"/>
              <w:bottom w:val="single" w:color="CCCCCC" w:sz="1"/>
              <w:right w:val="single" w:color="CCCCCC" w:sz="1"/>
            </w:tcBorders>
            <w:shd w:fill="F0FAF5" w:val="clear"/>
            <w:tcMar>
              <w:top w:type="dxa" w:w="100"/>
              <w:left w:type="dxa" w:w="160"/>
              <w:bottom w:type="dxa" w:w="100"/>
              <w:right w:type="dxa" w:w="160"/>
            </w:tcMar>
          </w:tcPr>
          <w:p>
            <w:pPr>
              <w:pStyle w:val="ListParagraph"/>
              <w:numPr>
                <w:ilvl w:val="0"/>
                <w:numId w:val="2"/>
              </w:numPr>
              <w:spacing w:before="30" w:after="30"/>
            </w:pPr>
            <w:r>
              <w:rPr>
                <w:rFonts w:ascii="Arial" w:cs="Arial" w:eastAsia="Arial" w:hAnsi="Arial"/>
                <w:color w:val="1a3a1a"/>
                <w:sz w:val="20"/>
                <w:szCs w:val="20"/>
              </w:rPr>
              <w:t xml:space="preserve">Longest-running dedicated internet governance dialogue process in existence</w:t>
            </w:r>
          </w:p>
          <w:p>
            <w:pPr>
              <w:pStyle w:val="ListParagraph"/>
              <w:numPr>
                <w:ilvl w:val="0"/>
                <w:numId w:val="2"/>
              </w:numPr>
              <w:spacing w:before="30" w:after="30"/>
            </w:pPr>
            <w:r>
              <w:rPr>
                <w:rFonts w:ascii="Arial" w:cs="Arial" w:eastAsia="Arial" w:hAnsi="Arial"/>
                <w:color w:val="1a3a1a"/>
                <w:sz w:val="20"/>
                <w:szCs w:val="20"/>
              </w:rPr>
              <w:t xml:space="preserve">Genuinely multi-stakeholder in format: all actors participate on equal procedural footing</w:t>
            </w:r>
          </w:p>
          <w:p>
            <w:pPr>
              <w:pStyle w:val="ListParagraph"/>
              <w:numPr>
                <w:ilvl w:val="0"/>
                <w:numId w:val="2"/>
              </w:numPr>
              <w:spacing w:before="30" w:after="30"/>
            </w:pPr>
            <w:r>
              <w:rPr>
                <w:rFonts w:ascii="Arial" w:cs="Arial" w:eastAsia="Arial" w:hAnsi="Arial"/>
                <w:color w:val="1a3a1a"/>
                <w:sz w:val="20"/>
                <w:szCs w:val="20"/>
              </w:rPr>
              <w:t xml:space="preserve">Has produced important discourse on privacy, access, and human rights</w:t>
            </w:r>
          </w:p>
          <w:p>
            <w:pPr>
              <w:pStyle w:val="ListParagraph"/>
              <w:numPr>
                <w:ilvl w:val="0"/>
                <w:numId w:val="2"/>
              </w:numPr>
              <w:spacing w:before="30" w:after="30"/>
            </w:pPr>
            <w:r>
              <w:rPr>
                <w:rFonts w:ascii="Arial" w:cs="Arial" w:eastAsia="Arial" w:hAnsi="Arial"/>
                <w:color w:val="1a3a1a"/>
                <w:sz w:val="20"/>
                <w:szCs w:val="20"/>
              </w:rPr>
              <w:t xml:space="preserve">Dynamic Coalitions model allows non-governmental norm development</w:t>
            </w:r>
          </w:p>
          <w:p>
            <w:pPr>
              <w:pStyle w:val="ListParagraph"/>
              <w:numPr>
                <w:ilvl w:val="0"/>
                <w:numId w:val="2"/>
              </w:numPr>
              <w:spacing w:before="30" w:after="30"/>
            </w:pPr>
            <w:r>
              <w:rPr>
                <w:rFonts w:ascii="Arial" w:cs="Arial" w:eastAsia="Arial" w:hAnsi="Arial"/>
                <w:color w:val="1a3a1a"/>
                <w:sz w:val="20"/>
                <w:szCs w:val="20"/>
              </w:rPr>
              <w:t xml:space="preserve">Live-streamed and documented — more transparent than most international processes</w:t>
            </w:r>
          </w:p>
        </w:tc>
        <w:tc>
          <w:tcPr>
            <w:tcW w:type="dxa" w:w="4680"/>
            <w:tcBorders>
              <w:top w:val="single" w:color="CCCCCC" w:sz="1"/>
              <w:left w:val="single" w:color="CCCCCC" w:sz="1"/>
              <w:bottom w:val="single" w:color="CCCCCC" w:sz="1"/>
              <w:right w:val="single" w:color="CCCCCC" w:sz="1"/>
            </w:tcBorders>
            <w:shd w:fill="FFF5F5" w:val="clear"/>
            <w:tcMar>
              <w:top w:type="dxa" w:w="100"/>
              <w:left w:type="dxa" w:w="160"/>
              <w:bottom w:type="dxa" w:w="100"/>
              <w:right w:type="dxa" w:w="160"/>
            </w:tcMar>
          </w:tcPr>
          <w:p>
            <w:pPr>
              <w:pStyle w:val="ListParagraph"/>
              <w:numPr>
                <w:ilvl w:val="0"/>
                <w:numId w:val="2"/>
              </w:numPr>
              <w:spacing w:before="30" w:after="30"/>
            </w:pPr>
            <w:r>
              <w:rPr>
                <w:rFonts w:ascii="Arial" w:cs="Arial" w:eastAsia="Arial" w:hAnsi="Arial"/>
                <w:color w:val="3a1a1a"/>
                <w:sz w:val="20"/>
                <w:szCs w:val="20"/>
              </w:rPr>
              <w:t xml:space="preserve">Deliberately created without decision-making authority — it is a talk shop by design</w:t>
            </w:r>
          </w:p>
          <w:p>
            <w:pPr>
              <w:pStyle w:val="ListParagraph"/>
              <w:numPr>
                <w:ilvl w:val="0"/>
                <w:numId w:val="2"/>
              </w:numPr>
              <w:spacing w:before="30" w:after="30"/>
            </w:pPr>
            <w:r>
              <w:rPr>
                <w:rFonts w:ascii="Arial" w:cs="Arial" w:eastAsia="Arial" w:hAnsi="Arial"/>
                <w:color w:val="3a1a1a"/>
                <w:sz w:val="20"/>
                <w:szCs w:val="20"/>
              </w:rPr>
              <w:t xml:space="preserve">Hosting in authoritarian countries (Baku, Saudi Arabia) undermines stated values</w:t>
            </w:r>
          </w:p>
          <w:p>
            <w:pPr>
              <w:pStyle w:val="ListParagraph"/>
              <w:numPr>
                <w:ilvl w:val="0"/>
                <w:numId w:val="2"/>
              </w:numPr>
              <w:spacing w:before="30" w:after="30"/>
            </w:pPr>
            <w:r>
              <w:rPr>
                <w:rFonts w:ascii="Arial" w:cs="Arial" w:eastAsia="Arial" w:hAnsi="Arial"/>
                <w:color w:val="3a1a1a"/>
                <w:sz w:val="20"/>
                <w:szCs w:val="20"/>
              </w:rPr>
              <w:t xml:space="preserve">Large corporations dominate participation in practice despite equal seating rules</w:t>
            </w:r>
          </w:p>
          <w:p>
            <w:pPr>
              <w:pStyle w:val="ListParagraph"/>
              <w:numPr>
                <w:ilvl w:val="0"/>
                <w:numId w:val="2"/>
              </w:numPr>
              <w:spacing w:before="30" w:after="30"/>
            </w:pPr>
            <w:r>
              <w:rPr>
                <w:rFonts w:ascii="Arial" w:cs="Arial" w:eastAsia="Arial" w:hAnsi="Arial"/>
                <w:color w:val="3a1a1a"/>
                <w:sz w:val="20"/>
                <w:szCs w:val="20"/>
              </w:rPr>
              <w:t xml:space="preserve">18 years without resolving a single major governance dispute</w:t>
            </w:r>
          </w:p>
          <w:p>
            <w:pPr>
              <w:pStyle w:val="ListParagraph"/>
              <w:numPr>
                <w:ilvl w:val="0"/>
                <w:numId w:val="2"/>
              </w:numPr>
              <w:spacing w:before="30" w:after="30"/>
            </w:pPr>
            <w:r>
              <w:rPr>
                <w:rFonts w:ascii="Arial" w:cs="Arial" w:eastAsia="Arial" w:hAnsi="Arial"/>
                <w:color w:val="3a1a1a"/>
                <w:sz w:val="20"/>
                <w:szCs w:val="20"/>
              </w:rPr>
              <w:t xml:space="preserve">Civil society participants increasingly marginalised by procedural complexity and cost</w:t>
            </w:r>
          </w:p>
          <w:p>
            <w:pPr>
              <w:pStyle w:val="ListParagraph"/>
              <w:numPr>
                <w:ilvl w:val="0"/>
                <w:numId w:val="2"/>
              </w:numPr>
              <w:spacing w:before="30" w:after="30"/>
            </w:pPr>
            <w:r>
              <w:rPr>
                <w:rFonts w:ascii="Arial" w:cs="Arial" w:eastAsia="Arial" w:hAnsi="Arial"/>
                <w:color w:val="3a1a1a"/>
                <w:sz w:val="20"/>
                <w:szCs w:val="20"/>
              </w:rPr>
              <w:t xml:space="preserve">The annual ritual of governance dialogue while the internet gets less governed each year</w:t>
            </w:r>
          </w:p>
        </w:tc>
      </w:tr>
      <w:tr>
        <w:tc>
          <w:tcPr>
            <w:tcW w:type="dxa" w:w="9360"/>
            <w:gridSpan w:val="2"/>
            <w:tcBorders>
              <w:top w:val="single" w:color="CCCCCC" w:sz="1"/>
              <w:left w:val="single" w:color="CCCCCC" w:sz="1"/>
              <w:bottom w:val="single" w:color="CCCCCC" w:sz="1"/>
              <w:right w:val="single" w:color="CCCCCC" w:sz="1"/>
            </w:tcBorders>
            <w:shd w:fill="FFF8E8" w:val="clear"/>
            <w:tcMar>
              <w:top w:type="dxa" w:w="100"/>
              <w:left w:type="dxa" w:w="200"/>
              <w:bottom w:type="dxa" w:w="100"/>
              <w:right w:type="dxa" w:w="200"/>
            </w:tcMar>
          </w:tcPr>
          <w:p>
            <w:r>
              <w:rPr>
                <w:rFonts w:ascii="Arial" w:cs="Arial" w:eastAsia="Arial" w:hAnsi="Arial"/>
                <w:b/>
                <w:bCs/>
                <w:color w:val="854F0B"/>
                <w:sz w:val="20"/>
                <w:szCs w:val="20"/>
              </w:rPr>
              <w:t xml:space="preserve">Verdict: </w:t>
            </w:r>
            <w:r>
              <w:rPr>
                <w:rFonts w:ascii="Arial" w:cs="Arial" w:eastAsia="Arial" w:hAnsi="Arial"/>
                <w:color w:val="0d0d1a"/>
                <w:sz w:val="20"/>
                <w:szCs w:val="20"/>
              </w:rPr>
              <w:t xml:space="preserve">The IGF is a valuable space. It is not governance. It was designed to be a pressure valve, not a solution. It has functioned exactly as designed.</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993C1D" w:val="clear"/>
            <w:tcMar>
              <w:top w:type="dxa" w:w="160"/>
              <w:left w:type="dxa" w:w="240"/>
              <w:bottom w:type="dxa" w:w="160"/>
              <w:right w:type="dxa" w:w="240"/>
            </w:tcMar>
          </w:tcPr>
          <w:p>
            <w:r>
              <w:rPr>
                <w:rFonts w:ascii="Arial" w:cs="Arial" w:eastAsia="Arial" w:hAnsi="Arial"/>
                <w:b/>
                <w:bCs/>
                <w:color w:val="FFFFFF"/>
                <w:sz w:val="30"/>
                <w:szCs w:val="30"/>
              </w:rPr>
              <w:t xml:space="preserve">Global Digital Compact 2024 and NETmundial+10</w:t>
            </w:r>
          </w:p>
          <w:p>
            <w:pPr>
              <w:spacing w:before="40"/>
            </w:pPr>
            <w:r>
              <w:rPr>
                <w:rFonts w:ascii="Arial" w:cs="Arial" w:eastAsia="Arial" w:hAnsi="Arial"/>
                <w:color w:val="DDDDDD"/>
                <w:sz w:val="19"/>
                <w:szCs w:val="19"/>
              </w:rPr>
              <w:t xml:space="preserve">UN Summit of the Future 2024 — São Paulo April 2024</w:t>
            </w:r>
          </w:p>
        </w:tc>
      </w:tr>
    </w:tbl>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80"/>
        <w:gridCol w:w="4680"/>
      </w:tblGrid>
      <w:tr>
        <w:tc>
          <w:tcPr>
            <w:tcW w:type="dxa" w:w="4680"/>
            <w:tcBorders>
              <w:top w:val="single" w:color="CCCCCC" w:sz="1"/>
              <w:left w:val="single" w:color="CCCCCC" w:sz="1"/>
              <w:bottom w:val="single" w:color="CCCCCC" w:sz="1"/>
              <w:right w:val="single" w:color="CCCCCC" w:sz="1"/>
            </w:tcBorders>
            <w:shd w:fill="27500A" w:val="clear"/>
            <w:tcMar>
              <w:top w:type="dxa" w:w="80"/>
              <w:left w:type="dxa" w:w="160"/>
              <w:bottom w:type="dxa" w:w="80"/>
              <w:right w:type="dxa" w:w="160"/>
            </w:tcMar>
          </w:tcPr>
          <w:p>
            <w:r>
              <w:rPr>
                <w:rFonts w:ascii="Arial" w:cs="Arial" w:eastAsia="Arial" w:hAnsi="Arial"/>
                <w:b/>
                <w:bCs/>
                <w:color w:val="FFFFFF"/>
                <w:sz w:val="20"/>
                <w:szCs w:val="20"/>
              </w:rPr>
              <w:t xml:space="preserve">What they got right</w:t>
            </w:r>
          </w:p>
        </w:tc>
        <w:tc>
          <w:tcPr>
            <w:tcW w:type="dxa" w:w="4680"/>
            <w:tcBorders>
              <w:top w:val="single" w:color="CCCCCC" w:sz="1"/>
              <w:left w:val="single" w:color="CCCCCC" w:sz="1"/>
              <w:bottom w:val="single" w:color="CCCCCC" w:sz="1"/>
              <w:right w:val="single" w:color="CCCCCC" w:sz="1"/>
            </w:tcBorders>
            <w:shd w:fill="993C1D" w:val="clear"/>
            <w:tcMar>
              <w:top w:type="dxa" w:w="80"/>
              <w:left w:type="dxa" w:w="160"/>
              <w:bottom w:type="dxa" w:w="80"/>
              <w:right w:type="dxa" w:w="160"/>
            </w:tcMar>
          </w:tcPr>
          <w:p>
            <w:r>
              <w:rPr>
                <w:rFonts w:ascii="Arial" w:cs="Arial" w:eastAsia="Arial" w:hAnsi="Arial"/>
                <w:b/>
                <w:bCs/>
                <w:color w:val="FFFFFF"/>
                <w:sz w:val="20"/>
                <w:szCs w:val="20"/>
              </w:rPr>
              <w:t xml:space="preserve">What they got wrong</w:t>
            </w:r>
          </w:p>
        </w:tc>
      </w:tr>
      <w:tr>
        <w:tc>
          <w:tcPr>
            <w:tcW w:type="dxa" w:w="4680"/>
            <w:tcBorders>
              <w:top w:val="single" w:color="CCCCCC" w:sz="1"/>
              <w:left w:val="single" w:color="CCCCCC" w:sz="1"/>
              <w:bottom w:val="single" w:color="CCCCCC" w:sz="1"/>
              <w:right w:val="single" w:color="CCCCCC" w:sz="1"/>
            </w:tcBorders>
            <w:shd w:fill="F0FAF5" w:val="clear"/>
            <w:tcMar>
              <w:top w:type="dxa" w:w="100"/>
              <w:left w:type="dxa" w:w="160"/>
              <w:bottom w:type="dxa" w:w="100"/>
              <w:right w:type="dxa" w:w="160"/>
            </w:tcMar>
          </w:tcPr>
          <w:p>
            <w:pPr>
              <w:pStyle w:val="ListParagraph"/>
              <w:numPr>
                <w:ilvl w:val="0"/>
                <w:numId w:val="2"/>
              </w:numPr>
              <w:spacing w:before="30" w:after="30"/>
            </w:pPr>
            <w:r>
              <w:rPr>
                <w:rFonts w:ascii="Arial" w:cs="Arial" w:eastAsia="Arial" w:hAnsi="Arial"/>
                <w:color w:val="1a3a1a"/>
                <w:sz w:val="20"/>
                <w:szCs w:val="20"/>
              </w:rPr>
              <w:t xml:space="preserve">Global Digital Compact: first UN framework explicitly addressing AI governance</w:t>
            </w:r>
          </w:p>
          <w:p>
            <w:pPr>
              <w:pStyle w:val="ListParagraph"/>
              <w:numPr>
                <w:ilvl w:val="0"/>
                <w:numId w:val="2"/>
              </w:numPr>
              <w:spacing w:before="30" w:after="30"/>
            </w:pPr>
            <w:r>
              <w:rPr>
                <w:rFonts w:ascii="Arial" w:cs="Arial" w:eastAsia="Arial" w:hAnsi="Arial"/>
                <w:color w:val="1a3a1a"/>
                <w:sz w:val="20"/>
                <w:szCs w:val="20"/>
              </w:rPr>
              <w:t xml:space="preserve">Reaffirmed multi-stakeholder internet governance principles at UN level</w:t>
            </w:r>
          </w:p>
          <w:p>
            <w:pPr>
              <w:pStyle w:val="ListParagraph"/>
              <w:numPr>
                <w:ilvl w:val="0"/>
                <w:numId w:val="2"/>
              </w:numPr>
              <w:spacing w:before="30" w:after="30"/>
            </w:pPr>
            <w:r>
              <w:rPr>
                <w:rFonts w:ascii="Arial" w:cs="Arial" w:eastAsia="Arial" w:hAnsi="Arial"/>
                <w:color w:val="1a3a1a"/>
                <w:sz w:val="20"/>
                <w:szCs w:val="20"/>
              </w:rPr>
              <w:t xml:space="preserve">NETmundial+10 São Paulo Guidelines addressed AI, platform accountability, and digital rights</w:t>
            </w:r>
          </w:p>
          <w:p>
            <w:pPr>
              <w:pStyle w:val="ListParagraph"/>
              <w:numPr>
                <w:ilvl w:val="0"/>
                <w:numId w:val="2"/>
              </w:numPr>
              <w:spacing w:before="30" w:after="30"/>
            </w:pPr>
            <w:r>
              <w:rPr>
                <w:rFonts w:ascii="Arial" w:cs="Arial" w:eastAsia="Arial" w:hAnsi="Arial"/>
                <w:color w:val="1a3a1a"/>
                <w:sz w:val="20"/>
                <w:szCs w:val="20"/>
              </w:rPr>
              <w:t xml:space="preserve">Recognised Global South participation must be structurally more meaningful</w:t>
            </w:r>
          </w:p>
          <w:p>
            <w:pPr>
              <w:pStyle w:val="ListParagraph"/>
              <w:numPr>
                <w:ilvl w:val="0"/>
                <w:numId w:val="2"/>
              </w:numPr>
              <w:spacing w:before="30" w:after="30"/>
            </w:pPr>
            <w:r>
              <w:rPr>
                <w:rFonts w:ascii="Arial" w:cs="Arial" w:eastAsia="Arial" w:hAnsi="Arial"/>
                <w:color w:val="1a3a1a"/>
                <w:sz w:val="20"/>
                <w:szCs w:val="20"/>
              </w:rPr>
              <w:t xml:space="preserve">Connected internet governance to democratic rights and sustainable development</w:t>
            </w:r>
          </w:p>
        </w:tc>
        <w:tc>
          <w:tcPr>
            <w:tcW w:type="dxa" w:w="4680"/>
            <w:tcBorders>
              <w:top w:val="single" w:color="CCCCCC" w:sz="1"/>
              <w:left w:val="single" w:color="CCCCCC" w:sz="1"/>
              <w:bottom w:val="single" w:color="CCCCCC" w:sz="1"/>
              <w:right w:val="single" w:color="CCCCCC" w:sz="1"/>
            </w:tcBorders>
            <w:shd w:fill="FFF5F5" w:val="clear"/>
            <w:tcMar>
              <w:top w:type="dxa" w:w="100"/>
              <w:left w:type="dxa" w:w="160"/>
              <w:bottom w:type="dxa" w:w="100"/>
              <w:right w:type="dxa" w:w="160"/>
            </w:tcMar>
          </w:tcPr>
          <w:p>
            <w:pPr>
              <w:pStyle w:val="ListParagraph"/>
              <w:numPr>
                <w:ilvl w:val="0"/>
                <w:numId w:val="2"/>
              </w:numPr>
              <w:spacing w:before="30" w:after="30"/>
            </w:pPr>
            <w:r>
              <w:rPr>
                <w:rFonts w:ascii="Arial" w:cs="Arial" w:eastAsia="Arial" w:hAnsi="Arial"/>
                <w:color w:val="3a1a1a"/>
                <w:sz w:val="20"/>
                <w:szCs w:val="20"/>
              </w:rPr>
              <w:t xml:space="preserve">Global Digital Compact is non-binding — another statement of principles without enforcement</w:t>
            </w:r>
          </w:p>
          <w:p>
            <w:pPr>
              <w:pStyle w:val="ListParagraph"/>
              <w:numPr>
                <w:ilvl w:val="0"/>
                <w:numId w:val="2"/>
              </w:numPr>
              <w:spacing w:before="30" w:after="30"/>
            </w:pPr>
            <w:r>
              <w:rPr>
                <w:rFonts w:ascii="Arial" w:cs="Arial" w:eastAsia="Arial" w:hAnsi="Arial"/>
                <w:color w:val="3a1a1a"/>
                <w:sz w:val="20"/>
                <w:szCs w:val="20"/>
              </w:rPr>
              <w:t xml:space="preserve">AI governance provisions too vague to constrain any actual actor</w:t>
            </w:r>
          </w:p>
          <w:p>
            <w:pPr>
              <w:pStyle w:val="ListParagraph"/>
              <w:numPr>
                <w:ilvl w:val="0"/>
                <w:numId w:val="2"/>
              </w:numPr>
              <w:spacing w:before="30" w:after="30"/>
            </w:pPr>
            <w:r>
              <w:rPr>
                <w:rFonts w:ascii="Arial" w:cs="Arial" w:eastAsia="Arial" w:hAnsi="Arial"/>
                <w:color w:val="3a1a1a"/>
                <w:sz w:val="20"/>
                <w:szCs w:val="20"/>
              </w:rPr>
              <w:t xml:space="preserve">Platform monopolies more powerful in 2024 than in 2014 — still not structurally addressed</w:t>
            </w:r>
          </w:p>
          <w:p>
            <w:pPr>
              <w:pStyle w:val="ListParagraph"/>
              <w:numPr>
                <w:ilvl w:val="0"/>
                <w:numId w:val="2"/>
              </w:numPr>
              <w:spacing w:before="30" w:after="30"/>
            </w:pPr>
            <w:r>
              <w:rPr>
                <w:rFonts w:ascii="Arial" w:cs="Arial" w:eastAsia="Arial" w:hAnsi="Arial"/>
                <w:color w:val="3a1a1a"/>
                <w:sz w:val="20"/>
                <w:szCs w:val="20"/>
              </w:rPr>
              <w:t xml:space="preserve">Corporate surveillance still treated separately from state surveillance, as if different in kind</w:t>
            </w:r>
          </w:p>
          <w:p>
            <w:pPr>
              <w:pStyle w:val="ListParagraph"/>
              <w:numPr>
                <w:ilvl w:val="0"/>
                <w:numId w:val="2"/>
              </w:numPr>
              <w:spacing w:before="30" w:after="30"/>
            </w:pPr>
            <w:r>
              <w:rPr>
                <w:rFonts w:ascii="Arial" w:cs="Arial" w:eastAsia="Arial" w:hAnsi="Arial"/>
                <w:color w:val="3a1a1a"/>
                <w:sz w:val="20"/>
                <w:szCs w:val="20"/>
              </w:rPr>
              <w:t xml:space="preserve">The governance gap between declared principles and lived reality is wider than ever</w:t>
            </w:r>
          </w:p>
        </w:tc>
      </w:tr>
      <w:tr>
        <w:tc>
          <w:tcPr>
            <w:tcW w:type="dxa" w:w="9360"/>
            <w:gridSpan w:val="2"/>
            <w:tcBorders>
              <w:top w:val="single" w:color="CCCCCC" w:sz="1"/>
              <w:left w:val="single" w:color="CCCCCC" w:sz="1"/>
              <w:bottom w:val="single" w:color="CCCCCC" w:sz="1"/>
              <w:right w:val="single" w:color="CCCCCC" w:sz="1"/>
            </w:tcBorders>
            <w:shd w:fill="FAECE7" w:val="clear"/>
            <w:tcMar>
              <w:top w:type="dxa" w:w="100"/>
              <w:left w:type="dxa" w:w="200"/>
              <w:bottom w:type="dxa" w:w="100"/>
              <w:right w:type="dxa" w:w="200"/>
            </w:tcMar>
          </w:tcPr>
          <w:p>
            <w:r>
              <w:rPr>
                <w:rFonts w:ascii="Arial" w:cs="Arial" w:eastAsia="Arial" w:hAnsi="Arial"/>
                <w:b/>
                <w:bCs/>
                <w:color w:val="993C1D"/>
                <w:sz w:val="20"/>
                <w:szCs w:val="20"/>
              </w:rPr>
              <w:t xml:space="preserve">Verdict: </w:t>
            </w:r>
            <w:r>
              <w:rPr>
                <w:rFonts w:ascii="Arial" w:cs="Arial" w:eastAsia="Arial" w:hAnsi="Arial"/>
                <w:color w:val="0d0d1a"/>
                <w:sz w:val="20"/>
                <w:szCs w:val="20"/>
              </w:rPr>
              <w:t xml:space="preserve">The most recent conferences are better at naming the problems. They are no better at solving them. The internet is still governed by whoever has the most power at any given moment.</w:t>
            </w:r>
          </w:p>
        </w:tc>
      </w:tr>
    </w:tbl>
    <w:p>
      <w:pPr>
        <w:spacing w:before="80" w:after="80"/>
      </w:pPr>
      <w:r>
        <w:t xml:space="preserve"/>
      </w:r>
    </w:p>
    <w:p>
      <w:pPr>
        <w:pBdr>
          <w:bottom w:val="single" w:color="1D9E75" w:sz="6" w:space="1"/>
        </w:pBdr>
        <w:spacing w:before="180" w:after="180"/>
      </w:pPr>
      <w:r>
        <w:t xml:space="preserve"/>
      </w:r>
    </w:p>
    <w:p>
      <w:r>
        <w:br w:type="page"/>
      </w:r>
    </w:p>
    <w:p>
      <w:pPr>
        <w:pStyle w:val="Heading1"/>
        <w:spacing w:before="480" w:after="120"/>
      </w:pPr>
      <w:r>
        <w:rPr>
          <w:rFonts w:ascii="Arial" w:cs="Arial" w:eastAsia="Arial" w:hAnsi="Arial"/>
          <w:b/>
          <w:bCs/>
          <w:color w:val="0d0d1a"/>
          <w:sz w:val="40"/>
          <w:szCs w:val="40"/>
        </w:rPr>
        <w:t xml:space="preserve">Part Two: What Every Conference Got Wrong</w:t>
      </w:r>
    </w:p>
    <w:p>
      <w:pPr>
        <w:spacing w:before="60" w:after="100"/>
      </w:pPr>
      <w:r>
        <w:rPr>
          <w:rFonts w:ascii="Arial" w:cs="Arial" w:eastAsia="Arial" w:hAnsi="Arial"/>
          <w:color w:val="333333"/>
          <w:sz w:val="22"/>
          <w:szCs w:val="22"/>
        </w:rPr>
        <w:t xml:space="preserve">Five structural failures appear across every conference from 2003 to 2024. Until these are resolved, no conference will produce lasting governance.</w:t>
      </w:r>
    </w:p>
    <w:p>
      <w:pPr>
        <w:spacing w:before="80" w:after="80"/>
      </w:pPr>
      <w:r>
        <w:t xml:space="preserve"/>
      </w:r>
    </w:p>
    <w:p>
      <w:pPr>
        <w:pStyle w:val="Heading2"/>
        <w:spacing w:before="320" w:after="80"/>
      </w:pPr>
      <w:r>
        <w:rPr>
          <w:rFonts w:ascii="Arial" w:cs="Arial" w:eastAsia="Arial" w:hAnsi="Arial"/>
          <w:b/>
          <w:bCs/>
          <w:color w:val="534AB7"/>
          <w:sz w:val="28"/>
          <w:szCs w:val="28"/>
        </w:rPr>
        <w:t xml:space="preserve">1. Principles without enforcement</w:t>
      </w:r>
    </w:p>
    <w:p>
      <w:pPr>
        <w:spacing w:before="60" w:after="100"/>
      </w:pPr>
      <w:r>
        <w:rPr>
          <w:rFonts w:ascii="Arial" w:cs="Arial" w:eastAsia="Arial" w:hAnsi="Arial"/>
          <w:color w:val="333333"/>
          <w:sz w:val="22"/>
          <w:szCs w:val="22"/>
        </w:rPr>
        <w:t xml:space="preserve">Every conference produced principles. None produced enforcement. A principle without enforcement is a preference. The WSIS Tunis Agenda, the NETmundial Statement, the Global Digital Compact — all describe the internet that should exist. None compels anyone to build it. Twenty years of correct description has not produced one day of correct practice.</w:t>
      </w:r>
    </w:p>
    <w:p>
      <w:pPr>
        <w:spacing w:before="80" w:after="80"/>
      </w:pPr>
      <w:r>
        <w:t xml:space="preserve"/>
      </w:r>
    </w:p>
    <w:p>
      <w:pPr>
        <w:pStyle w:val="Heading2"/>
        <w:spacing w:before="320" w:after="80"/>
      </w:pPr>
      <w:r>
        <w:rPr>
          <w:rFonts w:ascii="Arial" w:cs="Arial" w:eastAsia="Arial" w:hAnsi="Arial"/>
          <w:b/>
          <w:bCs/>
          <w:color w:val="534AB7"/>
          <w:sz w:val="28"/>
          <w:szCs w:val="28"/>
        </w:rPr>
        <w:t xml:space="preserve">2. Multi-stakeholderism without genuine equality</w:t>
      </w:r>
    </w:p>
    <w:p>
      <w:pPr>
        <w:spacing w:before="60" w:after="100"/>
      </w:pPr>
      <w:r>
        <w:rPr>
          <w:rFonts w:ascii="Arial" w:cs="Arial" w:eastAsia="Arial" w:hAnsi="Arial"/>
          <w:color w:val="333333"/>
          <w:sz w:val="22"/>
          <w:szCs w:val="22"/>
        </w:rPr>
        <w:t xml:space="preserve">The multi-stakeholder model is correct in theory. In practice, corporations have lawyers and governments have sovereignty. Civil society has neither. Equal seats at the table is a fiction when some participants arrive with institutional resources and others arrive on volunteer travel budgets. The model has been used to give legitimacy to processes that remained controlled by the powerful.</w:t>
      </w:r>
    </w:p>
    <w:p>
      <w:pPr>
        <w:spacing w:before="80" w:after="80"/>
      </w:pPr>
      <w:r>
        <w:t xml:space="preserve"/>
      </w:r>
    </w:p>
    <w:p>
      <w:pPr>
        <w:pStyle w:val="Heading2"/>
        <w:spacing w:before="320" w:after="80"/>
      </w:pPr>
      <w:r>
        <w:rPr>
          <w:rFonts w:ascii="Arial" w:cs="Arial" w:eastAsia="Arial" w:hAnsi="Arial"/>
          <w:b/>
          <w:bCs/>
          <w:color w:val="534AB7"/>
          <w:sz w:val="28"/>
          <w:szCs w:val="28"/>
        </w:rPr>
        <w:t xml:space="preserve">3. Users as afterthought</w:t>
      </w:r>
    </w:p>
    <w:p>
      <w:pPr>
        <w:spacing w:before="60" w:after="100"/>
      </w:pPr>
      <w:r>
        <w:rPr>
          <w:rFonts w:ascii="Arial" w:cs="Arial" w:eastAsia="Arial" w:hAnsi="Arial"/>
          <w:color w:val="333333"/>
          <w:sz w:val="22"/>
          <w:szCs w:val="22"/>
        </w:rPr>
        <w:t xml:space="preserve">The four billion people who use the internet are represented at governance conferences by organisations that may or may not reflect their interests. There is no mechanism for individual users to participate in, enforce, or understand the rules governing their digital lives. Every conference talks about users. None has given them meaningful power.</w:t>
      </w:r>
    </w:p>
    <w:p>
      <w:pPr>
        <w:spacing w:before="80" w:after="80"/>
      </w:pPr>
      <w:r>
        <w:t xml:space="preserve"/>
      </w:r>
    </w:p>
    <w:p>
      <w:pPr>
        <w:pStyle w:val="Heading2"/>
        <w:spacing w:before="320" w:after="80"/>
      </w:pPr>
      <w:r>
        <w:rPr>
          <w:rFonts w:ascii="Arial" w:cs="Arial" w:eastAsia="Arial" w:hAnsi="Arial"/>
          <w:b/>
          <w:bCs/>
          <w:color w:val="534AB7"/>
          <w:sz w:val="28"/>
          <w:szCs w:val="28"/>
        </w:rPr>
        <w:t xml:space="preserve">4. Corporate surveillance treated as separate from state surveillance</w:t>
      </w:r>
    </w:p>
    <w:p>
      <w:pPr>
        <w:spacing w:before="60" w:after="100"/>
      </w:pPr>
      <w:r>
        <w:rPr>
          <w:rFonts w:ascii="Arial" w:cs="Arial" w:eastAsia="Arial" w:hAnsi="Arial"/>
          <w:color w:val="333333"/>
          <w:sz w:val="22"/>
          <w:szCs w:val="22"/>
        </w:rPr>
        <w:t xml:space="preserve">Every conference condemns state surveillance. None has adequately addressed commercial surveillance. The data collection practices of Google, Meta, and Amazon represent a greater intrusion into private life than any state surveillance programme in history. This is not a peripheral issue. It is the central governance failure of the internet era. The conferences have consistently stepped around it.</w:t>
      </w:r>
    </w:p>
    <w:p>
      <w:pPr>
        <w:spacing w:before="80" w:after="80"/>
      </w:pPr>
      <w:r>
        <w:t xml:space="preserve"/>
      </w:r>
    </w:p>
    <w:p>
      <w:pPr>
        <w:pStyle w:val="Heading2"/>
        <w:spacing w:before="320" w:after="80"/>
      </w:pPr>
      <w:r>
        <w:rPr>
          <w:rFonts w:ascii="Arial" w:cs="Arial" w:eastAsia="Arial" w:hAnsi="Arial"/>
          <w:b/>
          <w:bCs/>
          <w:color w:val="534AB7"/>
          <w:sz w:val="28"/>
          <w:szCs w:val="28"/>
        </w:rPr>
        <w:t xml:space="preserve">5. Democratic accountability without a home</w:t>
      </w:r>
    </w:p>
    <w:p>
      <w:pPr>
        <w:spacing w:before="60" w:after="100"/>
      </w:pPr>
      <w:r>
        <w:rPr>
          <w:rFonts w:ascii="Arial" w:cs="Arial" w:eastAsia="Arial" w:hAnsi="Arial"/>
          <w:color w:val="333333"/>
          <w:sz w:val="22"/>
          <w:szCs w:val="22"/>
        </w:rPr>
        <w:t xml:space="preserve">Internet governance has no democratic mandate. The people who set internet standards, manage domain names, and control routing decisions are largely unelected technical experts. When technical decisions have political and social consequences — and they always do — democratic accountability cannot be optional. No conference has resolved where that accountability lives.</w:t>
      </w:r>
    </w:p>
    <w:p>
      <w:pPr>
        <w:pBdr>
          <w:bottom w:val="single" w:color="1D9E75" w:sz="6" w:space="1"/>
        </w:pBdr>
        <w:spacing w:before="180" w:after="180"/>
      </w:pPr>
      <w:r>
        <w:t xml:space="preserve"/>
      </w:r>
    </w:p>
    <w:p>
      <w:r>
        <w:br w:type="page"/>
      </w:r>
    </w:p>
    <w:p>
      <w:pPr>
        <w:pStyle w:val="Heading1"/>
        <w:spacing w:before="480" w:after="120"/>
      </w:pPr>
      <w:r>
        <w:rPr>
          <w:rFonts w:ascii="Arial" w:cs="Arial" w:eastAsia="Arial" w:hAnsi="Arial"/>
          <w:b/>
          <w:bCs/>
          <w:color w:val="1D9E75"/>
          <w:sz w:val="40"/>
          <w:szCs w:val="40"/>
        </w:rPr>
        <w:t xml:space="preserve">Part Three: What Building It Right Actually Looks Like</w:t>
      </w:r>
    </w:p>
    <w:p>
      <w:pPr>
        <w:spacing w:before="60" w:after="100"/>
      </w:pPr>
      <w:r>
        <w:rPr>
          <w:rFonts w:ascii="Arial" w:cs="Arial" w:eastAsia="Arial" w:hAnsi="Arial"/>
          <w:color w:val="333333"/>
          <w:sz w:val="22"/>
          <w:szCs w:val="22"/>
        </w:rPr>
        <w:t>The conferences described the internet that should exist. The Vela Protocol — the developer hub for Velcro Wallet and future related AI and Web3 projects is an attempt to build it — not as a policy document, but as running software that demonstrates the principles in practice.</w:t>
      </w:r>
    </w:p>
    <w:p>
      <w:pPr>
        <w:spacing w:before="60" w:after="100"/>
      </w:pPr>
      <w:r>
        <w:rPr>
          <w:rFonts w:ascii="Arial" w:cs="Arial" w:eastAsia="Arial" w:hAnsi="Arial"/>
          <w:color w:val="333333"/>
          <w:sz w:val="22"/>
          <w:szCs w:val="22"/>
        </w:rPr>
        <w:t xml:space="preserve">This is the argument the conferences could never make: not ‘here is what the internet should do’ but ‘here is the internet doing it, use it, copy it, improve it.’</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i/>
                <w:iCs/>
                <w:color w:val="0d0d1a"/>
                <w:sz w:val="22"/>
                <w:szCs w:val="22"/>
              </w:rPr>
              <w:t>The Vela Protocol platform is not a protest. It is a demonstration. The architecture is the argument. If other developers look at how we built our search engine, our social assistant, our wallet, and our website and say ‘I can build like this’ — that is governance by example, which is the only kind that has ever actually worked.</w:t>
            </w:r>
          </w:p>
        </w:tc>
      </w:tr>
    </w:tbl>
    <w:p>
      <w:pPr>
        <w:spacing w:before="80" w:after="80"/>
      </w:pPr>
      <w:r>
        <w:t xml:space="preserve"/>
      </w:r>
    </w:p>
    <w:p>
      <w:pPr>
        <w:pStyle w:val="Heading2"/>
        <w:spacing w:before="320" w:after="80"/>
      </w:pPr>
      <w:r>
        <w:rPr>
          <w:rFonts w:ascii="Arial" w:cs="Arial" w:eastAsia="Arial" w:hAnsi="Arial"/>
          <w:b/>
          <w:bCs/>
          <w:color w:val="534AB7"/>
          <w:sz w:val="28"/>
          <w:szCs w:val="28"/>
        </w:rPr>
        <w:t>The Vela Protocol Standard: What Every Application Built on This Platform Does</w:t>
      </w:r>
    </w:p>
    <w:p>
      <w:pPr>
        <w:spacing w:before="60" w:after="100"/>
      </w:pPr>
      <w:r>
        <w:rPr>
          <w:rFonts w:ascii="Arial" w:cs="Arial" w:eastAsia="Arial" w:hAnsi="Arial"/>
          <w:color w:val="333333"/>
          <w:sz w:val="22"/>
          <w:szCs w:val="22"/>
        </w:rPr>
        <w:t>Every product in the Vela Protocol — the developer hub for Velcro Wallet and future related AI and Web3 projects — and every application that adopts the Vela Protocol standard — implements the following seven principles not as terms of service but as technical architecture. The charter is enforced at the protocol level, not the policy level.</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2880"/>
        <w:gridCol w:w="5760"/>
      </w:tblGrid>
      <w:tr>
        <w:tc>
          <w:tcPr>
            <w:tcW w:type="dxa" w:w="720"/>
            <w:tcBorders>
              <w:top w:val="none" w:color="FFFFFF" w:sz="0"/>
              <w:left w:val="none" w:color="FFFFFF" w:sz="0"/>
              <w:bottom w:val="none" w:color="FFFFFF" w:sz="0"/>
              <w:right w:val="none" w:color="FFFFFF" w:sz="0"/>
            </w:tcBorders>
            <w:shd w:fill="534AB7" w:val="clear"/>
            <w:tcMar>
              <w:top w:type="dxa" w:w="120"/>
              <w:left w:type="dxa" w:w="80"/>
              <w:bottom w:type="dxa" w:w="120"/>
              <w:right w:type="dxa" w:w="80"/>
            </w:tcMar>
          </w:tcPr>
          <w:p>
            <w:pPr>
              <w:jc w:val="center"/>
            </w:pPr>
            <w:r>
              <w:rPr>
                <w:rFonts w:ascii="Arial" w:cs="Arial" w:eastAsia="Arial" w:hAnsi="Arial"/>
                <w:b/>
                <w:bCs/>
                <w:color w:val="FFFFFF"/>
                <w:sz w:val="28"/>
                <w:szCs w:val="28"/>
              </w:rPr>
              <w:t xml:space="preserve">1</w:t>
            </w:r>
          </w:p>
        </w:tc>
        <w:tc>
          <w:tcPr>
            <w:tcW w:type="dxa" w:w="2880"/>
            <w:tcBorders>
              <w:top w:val="none" w:color="FFFFFF" w:sz="0"/>
              <w:left w:val="none" w:color="FFFFFF" w:sz="0"/>
              <w:bottom w:val="none" w:color="FFFFFF" w:sz="0"/>
              <w:right w:val="none" w:color="FFFFFF" w:sz="0"/>
            </w:tcBorders>
            <w:shd w:fill="F7F5FF" w:val="clear"/>
            <w:tcMar>
              <w:top w:type="dxa" w:w="120"/>
              <w:left w:type="dxa" w:w="160"/>
              <w:bottom w:type="dxa" w:w="120"/>
              <w:right w:type="dxa" w:w="120"/>
            </w:tcMar>
          </w:tcPr>
          <w:p>
            <w:r>
              <w:rPr>
                <w:rFonts w:ascii="Arial" w:cs="Arial" w:eastAsia="Arial" w:hAnsi="Arial"/>
                <w:b/>
                <w:bCs/>
                <w:color w:val="0d0d1a"/>
                <w:sz w:val="22"/>
                <w:szCs w:val="22"/>
              </w:rPr>
              <w:t xml:space="preserve">User owns the data</w:t>
            </w:r>
          </w:p>
        </w:tc>
        <w:tc>
          <w:tcPr>
            <w:tcW w:type="dxa" w:w="5760"/>
            <w:tcBorders>
              <w:top w:val="none" w:color="FFFFFF" w:sz="0"/>
              <w:left w:val="none" w:color="FFFFFF" w:sz="0"/>
              <w:bottom w:val="none" w:color="FFFFFF" w:sz="0"/>
              <w:right w:val="none" w:color="FFFFFF" w:sz="0"/>
            </w:tcBorders>
            <w:shd w:fill="F7F5FF" w:val="clear"/>
            <w:tcMar>
              <w:top w:type="dxa" w:w="120"/>
              <w:left w:type="dxa" w:w="120"/>
              <w:bottom w:type="dxa" w:w="120"/>
              <w:right w:type="dxa" w:w="160"/>
            </w:tcMar>
          </w:tcPr>
          <w:p>
            <w:r>
              <w:rPr>
                <w:rFonts w:ascii="Arial" w:cs="Arial" w:eastAsia="Arial" w:hAnsi="Arial"/>
                <w:color w:val="444444"/>
                <w:sz w:val="21"/>
                <w:szCs w:val="21"/>
              </w:rPr>
              <w:t xml:space="preserve">No data is stored by the platform without explicit user consent. Users can export, delete, and audit everything. Keys belong to users, not to the platform.</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2880"/>
        <w:gridCol w:w="5760"/>
      </w:tblGrid>
      <w:tr>
        <w:tc>
          <w:tcPr>
            <w:tcW w:type="dxa" w:w="720"/>
            <w:tcBorders>
              <w:top w:val="none" w:color="FFFFFF" w:sz="0"/>
              <w:left w:val="none" w:color="FFFFFF" w:sz="0"/>
              <w:bottom w:val="none" w:color="FFFFFF" w:sz="0"/>
              <w:right w:val="none" w:color="FFFFFF" w:sz="0"/>
            </w:tcBorders>
            <w:shd w:fill="1D9E75" w:val="clear"/>
            <w:tcMar>
              <w:top w:type="dxa" w:w="120"/>
              <w:left w:type="dxa" w:w="80"/>
              <w:bottom w:type="dxa" w:w="120"/>
              <w:right w:type="dxa" w:w="80"/>
            </w:tcMar>
          </w:tcPr>
          <w:p>
            <w:pPr>
              <w:jc w:val="center"/>
            </w:pPr>
            <w:r>
              <w:rPr>
                <w:rFonts w:ascii="Arial" w:cs="Arial" w:eastAsia="Arial" w:hAnsi="Arial"/>
                <w:b/>
                <w:bCs/>
                <w:color w:val="FFFFFF"/>
                <w:sz w:val="28"/>
                <w:szCs w:val="28"/>
              </w:rPr>
              <w:t xml:space="preserve">2</w:t>
            </w:r>
          </w:p>
        </w:tc>
        <w:tc>
          <w:tcPr>
            <w:tcW w:type="dxa" w:w="2880"/>
            <w:tcBorders>
              <w:top w:val="none" w:color="FFFFFF" w:sz="0"/>
              <w:left w:val="none" w:color="FFFFFF" w:sz="0"/>
              <w:bottom w:val="none" w:color="FFFFFF" w:sz="0"/>
              <w:right w:val="none" w:color="FFFFFF" w:sz="0"/>
            </w:tcBorders>
            <w:shd w:fill="E1F5EE" w:val="clear"/>
            <w:tcMar>
              <w:top w:type="dxa" w:w="120"/>
              <w:left w:type="dxa" w:w="160"/>
              <w:bottom w:type="dxa" w:w="120"/>
              <w:right w:type="dxa" w:w="120"/>
            </w:tcMar>
          </w:tcPr>
          <w:p>
            <w:r>
              <w:rPr>
                <w:rFonts w:ascii="Arial" w:cs="Arial" w:eastAsia="Arial" w:hAnsi="Arial"/>
                <w:b/>
                <w:bCs/>
                <w:color w:val="0d0d1a"/>
                <w:sz w:val="22"/>
                <w:szCs w:val="22"/>
              </w:rPr>
              <w:t xml:space="preserve">No mining, ever</w:t>
            </w:r>
          </w:p>
        </w:tc>
        <w:tc>
          <w:tcPr>
            <w:tcW w:type="dxa" w:w="5760"/>
            <w:tcBorders>
              <w:top w:val="none" w:color="FFFFFF" w:sz="0"/>
              <w:left w:val="none" w:color="FFFFFF" w:sz="0"/>
              <w:bottom w:val="none" w:color="FFFFFF" w:sz="0"/>
              <w:right w:val="none" w:color="FFFFFF" w:sz="0"/>
            </w:tcBorders>
            <w:shd w:fill="E1F5EE" w:val="clear"/>
            <w:tcMar>
              <w:top w:type="dxa" w:w="120"/>
              <w:left w:type="dxa" w:w="120"/>
              <w:bottom w:type="dxa" w:w="120"/>
              <w:right w:type="dxa" w:w="160"/>
            </w:tcMar>
          </w:tcPr>
          <w:p>
            <w:r>
              <w:rPr>
                <w:rFonts w:ascii="Arial" w:cs="Arial" w:eastAsia="Arial" w:hAnsi="Arial"/>
                <w:color w:val="444444"/>
                <w:sz w:val="21"/>
                <w:szCs w:val="21"/>
              </w:rPr>
              <w:t xml:space="preserve">Data is never used for advertising targeting, behavioural profiling, or sale to third parties. This is a technical constraint, not a promise — the architecture does not collect what it cannot mine.</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2880"/>
        <w:gridCol w:w="5760"/>
      </w:tblGrid>
      <w:tr>
        <w:tc>
          <w:tcPr>
            <w:tcW w:type="dxa" w:w="720"/>
            <w:tcBorders>
              <w:top w:val="none" w:color="FFFFFF" w:sz="0"/>
              <w:left w:val="none" w:color="FFFFFF" w:sz="0"/>
              <w:bottom w:val="none" w:color="FFFFFF" w:sz="0"/>
              <w:right w:val="none" w:color="FFFFFF" w:sz="0"/>
            </w:tcBorders>
            <w:shd w:fill="185FA5" w:val="clear"/>
            <w:tcMar>
              <w:top w:type="dxa" w:w="120"/>
              <w:left w:type="dxa" w:w="80"/>
              <w:bottom w:type="dxa" w:w="120"/>
              <w:right w:type="dxa" w:w="80"/>
            </w:tcMar>
          </w:tcPr>
          <w:p>
            <w:pPr>
              <w:jc w:val="center"/>
            </w:pPr>
            <w:r>
              <w:rPr>
                <w:rFonts w:ascii="Arial" w:cs="Arial" w:eastAsia="Arial" w:hAnsi="Arial"/>
                <w:b/>
                <w:bCs/>
                <w:color w:val="FFFFFF"/>
                <w:sz w:val="28"/>
                <w:szCs w:val="28"/>
              </w:rPr>
              <w:t xml:space="preserve">3</w:t>
            </w:r>
          </w:p>
        </w:tc>
        <w:tc>
          <w:tcPr>
            <w:tcW w:type="dxa" w:w="2880"/>
            <w:tcBorders>
              <w:top w:val="none" w:color="FFFFFF" w:sz="0"/>
              <w:left w:val="none" w:color="FFFFFF" w:sz="0"/>
              <w:bottom w:val="none" w:color="FFFFFF" w:sz="0"/>
              <w:right w:val="none" w:color="FFFFFF" w:sz="0"/>
            </w:tcBorders>
            <w:shd w:fill="E6F1FB" w:val="clear"/>
            <w:tcMar>
              <w:top w:type="dxa" w:w="120"/>
              <w:left w:type="dxa" w:w="160"/>
              <w:bottom w:type="dxa" w:w="120"/>
              <w:right w:type="dxa" w:w="120"/>
            </w:tcMar>
          </w:tcPr>
          <w:p>
            <w:r>
              <w:rPr>
                <w:rFonts w:ascii="Arial" w:cs="Arial" w:eastAsia="Arial" w:hAnsi="Arial"/>
                <w:b/>
                <w:bCs/>
                <w:color w:val="0d0d1a"/>
                <w:sz w:val="22"/>
                <w:szCs w:val="22"/>
              </w:rPr>
              <w:t xml:space="preserve">Radical transparency</w:t>
            </w:r>
          </w:p>
        </w:tc>
        <w:tc>
          <w:tcPr>
            <w:tcW w:type="dxa" w:w="5760"/>
            <w:tcBorders>
              <w:top w:val="none" w:color="FFFFFF" w:sz="0"/>
              <w:left w:val="none" w:color="FFFFFF" w:sz="0"/>
              <w:bottom w:val="none" w:color="FFFFFF" w:sz="0"/>
              <w:right w:val="none" w:color="FFFFFF" w:sz="0"/>
            </w:tcBorders>
            <w:shd w:fill="E6F1FB" w:val="clear"/>
            <w:tcMar>
              <w:top w:type="dxa" w:w="120"/>
              <w:left w:type="dxa" w:w="120"/>
              <w:bottom w:type="dxa" w:w="120"/>
              <w:right w:type="dxa" w:w="160"/>
            </w:tcMar>
          </w:tcPr>
          <w:p>
            <w:r>
              <w:rPr>
                <w:rFonts w:ascii="Arial" w:cs="Arial" w:eastAsia="Arial" w:hAnsi="Arial"/>
                <w:color w:val="444444"/>
                <w:sz w:val="21"/>
                <w:szCs w:val="21"/>
              </w:rPr>
              <w:t xml:space="preserve">Algorithms are published. Ranking factors are public. Any change to how the system works is announced 30 days in advance. The code is open source. There are no hidden optimisations.</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2880"/>
        <w:gridCol w:w="5760"/>
      </w:tblGrid>
      <w:tr>
        <w:tc>
          <w:tcPr>
            <w:tcW w:type="dxa" w:w="720"/>
            <w:tcBorders>
              <w:top w:val="none" w:color="FFFFFF" w:sz="0"/>
              <w:left w:val="none" w:color="FFFFFF" w:sz="0"/>
              <w:bottom w:val="none" w:color="FFFFFF" w:sz="0"/>
              <w:right w:val="none" w:color="FFFFFF" w:sz="0"/>
            </w:tcBorders>
            <w:shd w:fill="854F0B" w:val="clear"/>
            <w:tcMar>
              <w:top w:type="dxa" w:w="120"/>
              <w:left w:type="dxa" w:w="80"/>
              <w:bottom w:type="dxa" w:w="120"/>
              <w:right w:type="dxa" w:w="80"/>
            </w:tcMar>
          </w:tcPr>
          <w:p>
            <w:pPr>
              <w:jc w:val="center"/>
            </w:pPr>
            <w:r>
              <w:rPr>
                <w:rFonts w:ascii="Arial" w:cs="Arial" w:eastAsia="Arial" w:hAnsi="Arial"/>
                <w:b/>
                <w:bCs/>
                <w:color w:val="FFFFFF"/>
                <w:sz w:val="28"/>
                <w:szCs w:val="28"/>
              </w:rPr>
              <w:t xml:space="preserve">4</w:t>
            </w:r>
          </w:p>
        </w:tc>
        <w:tc>
          <w:tcPr>
            <w:tcW w:type="dxa" w:w="2880"/>
            <w:tcBorders>
              <w:top w:val="none" w:color="FFFFFF" w:sz="0"/>
              <w:left w:val="none" w:color="FFFFFF" w:sz="0"/>
              <w:bottom w:val="none" w:color="FFFFFF" w:sz="0"/>
              <w:right w:val="none" w:color="FFFFFF" w:sz="0"/>
            </w:tcBorders>
            <w:shd w:fill="FFF8E8" w:val="clear"/>
            <w:tcMar>
              <w:top w:type="dxa" w:w="120"/>
              <w:left w:type="dxa" w:w="160"/>
              <w:bottom w:type="dxa" w:w="120"/>
              <w:right w:type="dxa" w:w="120"/>
            </w:tcMar>
          </w:tcPr>
          <w:p>
            <w:r>
              <w:rPr>
                <w:rFonts w:ascii="Arial" w:cs="Arial" w:eastAsia="Arial" w:hAnsi="Arial"/>
                <w:b/>
                <w:bCs/>
                <w:color w:val="0d0d1a"/>
                <w:sz w:val="22"/>
                <w:szCs w:val="22"/>
              </w:rPr>
              <w:t xml:space="preserve">Pseudonymous by default</w:t>
            </w:r>
          </w:p>
        </w:tc>
        <w:tc>
          <w:tcPr>
            <w:tcW w:type="dxa" w:w="5760"/>
            <w:tcBorders>
              <w:top w:val="none" w:color="FFFFFF" w:sz="0"/>
              <w:left w:val="none" w:color="FFFFFF" w:sz="0"/>
              <w:bottom w:val="none" w:color="FFFFFF" w:sz="0"/>
              <w:right w:val="none" w:color="FFFFFF" w:sz="0"/>
            </w:tcBorders>
            <w:shd w:fill="FFF8E8" w:val="clear"/>
            <w:tcMar>
              <w:top w:type="dxa" w:w="120"/>
              <w:left w:type="dxa" w:w="120"/>
              <w:bottom w:type="dxa" w:w="120"/>
              <w:right w:type="dxa" w:w="160"/>
            </w:tcMar>
          </w:tcPr>
          <w:p>
            <w:r>
              <w:rPr>
                <w:rFonts w:ascii="Arial" w:cs="Arial" w:eastAsia="Arial" w:hAnsi="Arial"/>
                <w:color w:val="444444"/>
                <w:sz w:val="21"/>
                <w:szCs w:val="21"/>
              </w:rPr>
              <w:t xml:space="preserve">No real identity is required. Users choose what to reveal and to whom. The platform cannot be compelled to identify users because it does not know who they are.</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2880"/>
        <w:gridCol w:w="5760"/>
      </w:tblGrid>
      <w:tr>
        <w:tc>
          <w:tcPr>
            <w:tcW w:type="dxa" w:w="720"/>
            <w:tcBorders>
              <w:top w:val="none" w:color="FFFFFF" w:sz="0"/>
              <w:left w:val="none" w:color="FFFFFF" w:sz="0"/>
              <w:bottom w:val="none" w:color="FFFFFF" w:sz="0"/>
              <w:right w:val="none" w:color="FFFFFF" w:sz="0"/>
            </w:tcBorders>
            <w:shd w:fill="27500A" w:val="clear"/>
            <w:tcMar>
              <w:top w:type="dxa" w:w="120"/>
              <w:left w:type="dxa" w:w="80"/>
              <w:bottom w:type="dxa" w:w="120"/>
              <w:right w:type="dxa" w:w="80"/>
            </w:tcMar>
          </w:tcPr>
          <w:p>
            <w:pPr>
              <w:jc w:val="center"/>
            </w:pPr>
            <w:r>
              <w:rPr>
                <w:rFonts w:ascii="Arial" w:cs="Arial" w:eastAsia="Arial" w:hAnsi="Arial"/>
                <w:b/>
                <w:bCs/>
                <w:color w:val="FFFFFF"/>
                <w:sz w:val="28"/>
                <w:szCs w:val="28"/>
              </w:rPr>
              <w:t xml:space="preserve">5</w:t>
            </w:r>
          </w:p>
        </w:tc>
        <w:tc>
          <w:tcPr>
            <w:tcW w:type="dxa" w:w="2880"/>
            <w:tcBorders>
              <w:top w:val="none" w:color="FFFFFF" w:sz="0"/>
              <w:left w:val="none" w:color="FFFFFF" w:sz="0"/>
              <w:bottom w:val="none" w:color="FFFFFF" w:sz="0"/>
              <w:right w:val="none" w:color="FFFFFF" w:sz="0"/>
            </w:tcBorders>
            <w:shd w:fill="EAF3DE" w:val="clear"/>
            <w:tcMar>
              <w:top w:type="dxa" w:w="120"/>
              <w:left w:type="dxa" w:w="160"/>
              <w:bottom w:type="dxa" w:w="120"/>
              <w:right w:type="dxa" w:w="120"/>
            </w:tcMar>
          </w:tcPr>
          <w:p>
            <w:r>
              <w:rPr>
                <w:rFonts w:ascii="Arial" w:cs="Arial" w:eastAsia="Arial" w:hAnsi="Arial"/>
                <w:b/>
                <w:bCs/>
                <w:color w:val="0d0d1a"/>
                <w:sz w:val="22"/>
                <w:szCs w:val="22"/>
              </w:rPr>
              <w:t xml:space="preserve">Open to builders, governed by users</w:t>
            </w:r>
          </w:p>
        </w:tc>
        <w:tc>
          <w:tcPr>
            <w:tcW w:type="dxa" w:w="5760"/>
            <w:tcBorders>
              <w:top w:val="none" w:color="FFFFFF" w:sz="0"/>
              <w:left w:val="none" w:color="FFFFFF" w:sz="0"/>
              <w:bottom w:val="none" w:color="FFFFFF" w:sz="0"/>
              <w:right w:val="none" w:color="FFFFFF" w:sz="0"/>
            </w:tcBorders>
            <w:shd w:fill="EAF3DE" w:val="clear"/>
            <w:tcMar>
              <w:top w:type="dxa" w:w="120"/>
              <w:left w:type="dxa" w:w="120"/>
              <w:bottom w:type="dxa" w:w="120"/>
              <w:right w:type="dxa" w:w="160"/>
            </w:tcMar>
          </w:tcPr>
          <w:p>
            <w:r>
              <w:rPr>
                <w:rFonts w:ascii="Arial" w:cs="Arial" w:eastAsia="Arial" w:hAnsi="Arial"/>
                <w:color w:val="444444"/>
                <w:sz w:val="21"/>
                <w:szCs w:val="21"/>
              </w:rPr>
              <w:t xml:space="preserve">Any developer can build on the platform. Governance decisions are made by the community of users, not by the founders. The founders’ authority is limited to enforcing the charter itself.</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2880"/>
        <w:gridCol w:w="5760"/>
      </w:tblGrid>
      <w:tr>
        <w:tc>
          <w:tcPr>
            <w:tcW w:type="dxa" w:w="720"/>
            <w:tcBorders>
              <w:top w:val="none" w:color="FFFFFF" w:sz="0"/>
              <w:left w:val="none" w:color="FFFFFF" w:sz="0"/>
              <w:bottom w:val="none" w:color="FFFFFF" w:sz="0"/>
              <w:right w:val="none" w:color="FFFFFF" w:sz="0"/>
            </w:tcBorders>
            <w:shd w:fill="993C1D" w:val="clear"/>
            <w:tcMar>
              <w:top w:type="dxa" w:w="120"/>
              <w:left w:type="dxa" w:w="80"/>
              <w:bottom w:type="dxa" w:w="120"/>
              <w:right w:type="dxa" w:w="80"/>
            </w:tcMar>
          </w:tcPr>
          <w:p>
            <w:pPr>
              <w:jc w:val="center"/>
            </w:pPr>
            <w:r>
              <w:rPr>
                <w:rFonts w:ascii="Arial" w:cs="Arial" w:eastAsia="Arial" w:hAnsi="Arial"/>
                <w:b/>
                <w:bCs/>
                <w:color w:val="FFFFFF"/>
                <w:sz w:val="28"/>
                <w:szCs w:val="28"/>
              </w:rPr>
              <w:t xml:space="preserve">6</w:t>
            </w:r>
          </w:p>
        </w:tc>
        <w:tc>
          <w:tcPr>
            <w:tcW w:type="dxa" w:w="2880"/>
            <w:tcBorders>
              <w:top w:val="none" w:color="FFFFFF" w:sz="0"/>
              <w:left w:val="none" w:color="FFFFFF" w:sz="0"/>
              <w:bottom w:val="none" w:color="FFFFFF" w:sz="0"/>
              <w:right w:val="none" w:color="FFFFFF" w:sz="0"/>
            </w:tcBorders>
            <w:shd w:fill="FAECE7" w:val="clear"/>
            <w:tcMar>
              <w:top w:type="dxa" w:w="120"/>
              <w:left w:type="dxa" w:w="160"/>
              <w:bottom w:type="dxa" w:w="120"/>
              <w:right w:type="dxa" w:w="120"/>
            </w:tcMar>
          </w:tcPr>
          <w:p>
            <w:r>
              <w:rPr>
                <w:rFonts w:ascii="Arial" w:cs="Arial" w:eastAsia="Arial" w:hAnsi="Arial"/>
                <w:b/>
                <w:bCs/>
                <w:color w:val="0d0d1a"/>
                <w:sz w:val="22"/>
                <w:szCs w:val="22"/>
              </w:rPr>
              <w:t xml:space="preserve">The surveillance wall</w:t>
            </w:r>
          </w:p>
        </w:tc>
        <w:tc>
          <w:tcPr>
            <w:tcW w:type="dxa" w:w="5760"/>
            <w:tcBorders>
              <w:top w:val="none" w:color="FFFFFF" w:sz="0"/>
              <w:left w:val="none" w:color="FFFFFF" w:sz="0"/>
              <w:bottom w:val="none" w:color="FFFFFF" w:sz="0"/>
              <w:right w:val="none" w:color="FFFFFF" w:sz="0"/>
            </w:tcBorders>
            <w:shd w:fill="FAECE7" w:val="clear"/>
            <w:tcMar>
              <w:top w:type="dxa" w:w="120"/>
              <w:left w:type="dxa" w:w="120"/>
              <w:bottom w:type="dxa" w:w="120"/>
              <w:right w:type="dxa" w:w="160"/>
            </w:tcMar>
          </w:tcPr>
          <w:p>
            <w:r>
              <w:rPr>
                <w:rFonts w:ascii="Arial" w:cs="Arial" w:eastAsia="Arial" w:hAnsi="Arial"/>
                <w:color w:val="444444"/>
                <w:sz w:val="21"/>
                <w:szCs w:val="21"/>
              </w:rPr>
              <w:t xml:space="preserve">The platform blocks trackers at the protocol level. No third-party scripts. No pixel tracking. No fingerprinting. The wall is not a setting — it is the default.</w:t>
            </w:r>
          </w:p>
        </w:tc>
      </w:tr>
    </w:tbl>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20"/>
        <w:gridCol w:w="2880"/>
        <w:gridCol w:w="5760"/>
      </w:tblGrid>
      <w:tr>
        <w:tc>
          <w:tcPr>
            <w:tcW w:type="dxa" w:w="720"/>
            <w:tcBorders>
              <w:top w:val="none" w:color="FFFFFF" w:sz="0"/>
              <w:left w:val="none" w:color="FFFFFF" w:sz="0"/>
              <w:bottom w:val="none" w:color="FFFFFF" w:sz="0"/>
              <w:right w:val="none" w:color="FFFFFF" w:sz="0"/>
            </w:tcBorders>
            <w:shd w:fill="534AB7" w:val="clear"/>
            <w:tcMar>
              <w:top w:type="dxa" w:w="120"/>
              <w:left w:type="dxa" w:w="80"/>
              <w:bottom w:type="dxa" w:w="120"/>
              <w:right w:type="dxa" w:w="80"/>
            </w:tcMar>
          </w:tcPr>
          <w:p>
            <w:pPr>
              <w:jc w:val="center"/>
            </w:pPr>
            <w:r>
              <w:rPr>
                <w:rFonts w:ascii="Arial" w:cs="Arial" w:eastAsia="Arial" w:hAnsi="Arial"/>
                <w:b/>
                <w:bCs/>
                <w:color w:val="FFFFFF"/>
                <w:sz w:val="28"/>
                <w:szCs w:val="28"/>
              </w:rPr>
              <w:t xml:space="preserve">7</w:t>
            </w:r>
          </w:p>
        </w:tc>
        <w:tc>
          <w:tcPr>
            <w:tcW w:type="dxa" w:w="2880"/>
            <w:tcBorders>
              <w:top w:val="none" w:color="FFFFFF" w:sz="0"/>
              <w:left w:val="none" w:color="FFFFFF" w:sz="0"/>
              <w:bottom w:val="none" w:color="FFFFFF" w:sz="0"/>
              <w:right w:val="none" w:color="FFFFFF" w:sz="0"/>
            </w:tcBorders>
            <w:shd w:fill="F7F5FF" w:val="clear"/>
            <w:tcMar>
              <w:top w:type="dxa" w:w="120"/>
              <w:left w:type="dxa" w:w="160"/>
              <w:bottom w:type="dxa" w:w="120"/>
              <w:right w:type="dxa" w:w="120"/>
            </w:tcMar>
          </w:tcPr>
          <w:p>
            <w:r>
              <w:rPr>
                <w:rFonts w:ascii="Arial" w:cs="Arial" w:eastAsia="Arial" w:hAnsi="Arial"/>
                <w:b/>
                <w:bCs/>
                <w:color w:val="0d0d1a"/>
                <w:sz w:val="22"/>
                <w:szCs w:val="22"/>
              </w:rPr>
              <w:t xml:space="preserve">Love before commerce</w:t>
            </w:r>
          </w:p>
        </w:tc>
        <w:tc>
          <w:tcPr>
            <w:tcW w:type="dxa" w:w="5760"/>
            <w:tcBorders>
              <w:top w:val="none" w:color="FFFFFF" w:sz="0"/>
              <w:left w:val="none" w:color="FFFFFF" w:sz="0"/>
              <w:bottom w:val="none" w:color="FFFFFF" w:sz="0"/>
              <w:right w:val="none" w:color="FFFFFF" w:sz="0"/>
            </w:tcBorders>
            <w:shd w:fill="F7F5FF" w:val="clear"/>
            <w:tcMar>
              <w:top w:type="dxa" w:w="120"/>
              <w:left w:type="dxa" w:w="120"/>
              <w:bottom w:type="dxa" w:w="120"/>
              <w:right w:type="dxa" w:w="160"/>
            </w:tcMar>
          </w:tcPr>
          <w:p>
            <w:r>
              <w:rPr>
                <w:rFonts w:ascii="Arial" w:cs="Arial" w:eastAsia="Arial" w:hAnsi="Arial"/>
                <w:color w:val="444444"/>
                <w:sz w:val="21"/>
                <w:szCs w:val="21"/>
              </w:rPr>
              <w:t xml:space="preserve">Revenue comes from people paying for value, not from monetising people. Every commercial decision is assessed against this principle first. If it fails the test, it does not happen.</w:t>
            </w:r>
          </w:p>
        </w:tc>
      </w:tr>
    </w:tbl>
    <w:p>
      <w:pPr>
        <w:spacing w:before="80" w:after="80"/>
      </w:pPr>
      <w:r>
        <w:t xml:space="preserve"/>
      </w:r>
    </w:p>
    <w:p>
      <w:pPr>
        <w:pBdr>
          <w:bottom w:val="single" w:color="1D9E75" w:sz="6" w:space="1"/>
        </w:pBdr>
        <w:spacing w:before="180" w:after="180"/>
      </w:pPr>
      <w:r>
        <w:t xml:space="preserve"/>
      </w:r>
    </w:p>
    <w:p>
      <w:r>
        <w:br w:type="page"/>
      </w:r>
    </w:p>
    <w:p>
      <w:pPr>
        <w:pStyle w:val="Heading1"/>
        <w:spacing w:before="480" w:after="120"/>
      </w:pPr>
      <w:r>
        <w:rPr>
          <w:rFonts w:ascii="Arial" w:cs="Arial" w:eastAsia="Arial" w:hAnsi="Arial"/>
          <w:b/>
          <w:bCs/>
          <w:color w:val="0d0d1a"/>
          <w:sz w:val="40"/>
          <w:szCs w:val="40"/>
        </w:rPr>
        <w:t xml:space="preserve">Part Four: The Self-Learning AI Principle</w:t>
      </w:r>
    </w:p>
    <w:p>
      <w:pPr>
        <w:spacing w:before="60" w:after="100"/>
      </w:pPr>
      <w:r>
        <w:rPr>
          <w:rFonts w:ascii="Arial" w:cs="Arial" w:eastAsia="Arial" w:hAnsi="Arial"/>
          <w:color w:val="333333"/>
          <w:sz w:val="22"/>
          <w:szCs w:val="22"/>
        </w:rPr>
        <w:t>The Vela Protocol platform includes AI components — in the search engine, in Vela the social assistant, and eventually in the wallet. These components learn from use. That learning must be governed by the same principles that govern the platform itself, regardless of what the AI learns or where it is deployed.</w:t>
      </w:r>
    </w:p>
    <w:p>
      <w:pPr>
        <w:spacing w:before="60" w:after="100"/>
      </w:pPr>
      <w:r>
        <w:rPr>
          <w:rFonts w:ascii="Arial" w:cs="Arial" w:eastAsia="Arial" w:hAnsi="Arial"/>
          <w:color w:val="333333"/>
          <w:sz w:val="22"/>
          <w:szCs w:val="22"/>
        </w:rPr>
        <w:t>This is new ground. No governance conference has produced binding principles for AI behaviour in user-facing applications. The Vela Protocol charter provides three non-negotiable floors that no learning process, no optimisation function, and no external deployment can override.</w:t>
      </w:r>
    </w:p>
    <w:p>
      <w:pPr>
        <w:spacing w:before="80" w:after="80"/>
      </w:pPr>
      <w:r>
        <w:t xml:space="preserve"/>
      </w:r>
    </w:p>
    <w:p>
      <w:pPr>
        <w:pStyle w:val="Heading2"/>
        <w:spacing w:before="320" w:after="80"/>
      </w:pPr>
      <w:r>
        <w:rPr>
          <w:rFonts w:ascii="Arial" w:cs="Arial" w:eastAsia="Arial" w:hAnsi="Arial"/>
          <w:b/>
          <w:bCs/>
          <w:color w:val="534AB7"/>
          <w:sz w:val="28"/>
          <w:szCs w:val="28"/>
        </w:rPr>
        <w:t xml:space="preserve">The Three Non-Negotiable AI Floors</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c>
          <w:tcPr>
            <w:tcW w:type="dxa" w:w="3120"/>
            <w:tcBorders>
              <w:top w:val="single" w:color="CCCCCC" w:sz="1"/>
              <w:left w:val="single" w:color="CCCCCC" w:sz="1"/>
              <w:bottom w:val="single" w:color="CCCCCC" w:sz="1"/>
              <w:right w:val="single" w:color="CCCCCC" w:sz="1"/>
            </w:tcBorders>
            <w:shd w:fill="534AB7" w:val="clear"/>
            <w:tcMar>
              <w:top w:type="dxa" w:w="120"/>
              <w:left w:type="dxa" w:w="160"/>
              <w:bottom w:type="dxa" w:w="120"/>
              <w:right w:type="dxa" w:w="160"/>
            </w:tcMar>
          </w:tcPr>
          <w:p>
            <w:pPr>
              <w:jc w:val="center"/>
            </w:pPr>
            <w:r>
              <w:rPr>
                <w:rFonts w:ascii="Arial" w:cs="Arial" w:eastAsia="Arial" w:hAnsi="Arial"/>
                <w:b/>
                <w:bCs/>
                <w:color w:val="FFFFFF"/>
                <w:sz w:val="24"/>
                <w:szCs w:val="24"/>
              </w:rPr>
              <w:t xml:space="preserve">Floor 1</w:t>
            </w:r>
          </w:p>
          <w:p>
            <w:pPr>
              <w:spacing w:before="40"/>
              <w:jc w:val="center"/>
            </w:pPr>
            <w:r>
              <w:rPr>
                <w:rFonts w:ascii="Arial" w:cs="Arial" w:eastAsia="Arial" w:hAnsi="Arial"/>
                <w:b/>
                <w:bCs/>
                <w:color w:val="DDDDDD"/>
                <w:sz w:val="20"/>
                <w:szCs w:val="20"/>
              </w:rPr>
              <w:t xml:space="preserve">Never collect data without explicit consent</w:t>
            </w:r>
          </w:p>
        </w:tc>
        <w:tc>
          <w:tcPr>
            <w:tcW w:type="dxa" w:w="3120"/>
            <w:tcBorders>
              <w:top w:val="single" w:color="CCCCCC" w:sz="1"/>
              <w:left w:val="single" w:color="CCCCCC" w:sz="1"/>
              <w:bottom w:val="single" w:color="CCCCCC" w:sz="1"/>
              <w:right w:val="single" w:color="CCCCCC" w:sz="1"/>
            </w:tcBorders>
            <w:shd w:fill="1D9E75" w:val="clear"/>
            <w:tcMar>
              <w:top w:type="dxa" w:w="120"/>
              <w:left w:type="dxa" w:w="160"/>
              <w:bottom w:type="dxa" w:w="120"/>
              <w:right w:type="dxa" w:w="160"/>
            </w:tcMar>
          </w:tcPr>
          <w:p>
            <w:pPr>
              <w:jc w:val="center"/>
            </w:pPr>
            <w:r>
              <w:rPr>
                <w:rFonts w:ascii="Arial" w:cs="Arial" w:eastAsia="Arial" w:hAnsi="Arial"/>
                <w:b/>
                <w:bCs/>
                <w:color w:val="FFFFFF"/>
                <w:sz w:val="24"/>
                <w:szCs w:val="24"/>
              </w:rPr>
              <w:t xml:space="preserve">Floor 2</w:t>
            </w:r>
          </w:p>
          <w:p>
            <w:pPr>
              <w:spacing w:before="40"/>
              <w:jc w:val="center"/>
            </w:pPr>
            <w:r>
              <w:rPr>
                <w:rFonts w:ascii="Arial" w:cs="Arial" w:eastAsia="Arial" w:hAnsi="Arial"/>
                <w:b/>
                <w:bCs/>
                <w:color w:val="DDDDDD"/>
                <w:sz w:val="20"/>
                <w:szCs w:val="20"/>
              </w:rPr>
              <w:t xml:space="preserve">Never optimise for engagement over user interest</w:t>
            </w:r>
          </w:p>
        </w:tc>
        <w:tc>
          <w:tcPr>
            <w:tcW w:type="dxa" w:w="3120"/>
            <w:tcBorders>
              <w:top w:val="single" w:color="CCCCCC" w:sz="1"/>
              <w:left w:val="single" w:color="CCCCCC" w:sz="1"/>
              <w:bottom w:val="single" w:color="CCCCCC" w:sz="1"/>
              <w:right w:val="single" w:color="CCCCCC" w:sz="1"/>
            </w:tcBorders>
            <w:shd w:fill="185FA5" w:val="clear"/>
            <w:tcMar>
              <w:top w:type="dxa" w:w="120"/>
              <w:left w:type="dxa" w:w="160"/>
              <w:bottom w:type="dxa" w:w="120"/>
              <w:right w:type="dxa" w:w="160"/>
            </w:tcMar>
          </w:tcPr>
          <w:p>
            <w:pPr>
              <w:jc w:val="center"/>
            </w:pPr>
            <w:r>
              <w:rPr>
                <w:rFonts w:ascii="Arial" w:cs="Arial" w:eastAsia="Arial" w:hAnsi="Arial"/>
                <w:b/>
                <w:bCs/>
                <w:color w:val="FFFFFF"/>
                <w:sz w:val="24"/>
                <w:szCs w:val="24"/>
              </w:rPr>
              <w:t xml:space="preserve">Floor 3</w:t>
            </w:r>
          </w:p>
          <w:p>
            <w:pPr>
              <w:spacing w:before="40"/>
              <w:jc w:val="center"/>
            </w:pPr>
            <w:r>
              <w:rPr>
                <w:rFonts w:ascii="Arial" w:cs="Arial" w:eastAsia="Arial" w:hAnsi="Arial"/>
                <w:b/>
                <w:bCs/>
                <w:color w:val="DDDDDD"/>
                <w:sz w:val="20"/>
                <w:szCs w:val="20"/>
              </w:rPr>
              <w:t xml:space="preserve">Never operate outside the transparency charter</w:t>
            </w:r>
          </w:p>
        </w:tc>
      </w:tr>
      <w:tr>
        <w:tc>
          <w:tcPr>
            <w:tcW w:type="dxa" w:w="3120"/>
            <w:tcBorders>
              <w:top w:val="single" w:color="CCCCCC" w:sz="1"/>
              <w:left w:val="single" w:color="CCCCCC" w:sz="1"/>
              <w:bottom w:val="single" w:color="CCCCCC" w:sz="1"/>
              <w:right w:val="single" w:color="CCCCCC" w:sz="1"/>
            </w:tcBorders>
            <w:shd w:fill="F7F5FF" w:val="clear"/>
            <w:tcMar>
              <w:top w:type="dxa" w:w="120"/>
              <w:left w:type="dxa" w:w="160"/>
              <w:bottom w:type="dxa" w:w="120"/>
              <w:right w:type="dxa" w:w="160"/>
            </w:tcMar>
          </w:tcPr>
          <w:p>
            <w:r>
              <w:rPr>
                <w:rFonts w:ascii="Arial" w:cs="Arial" w:eastAsia="Arial" w:hAnsi="Arial"/>
                <w:color w:val="333333"/>
                <w:sz w:val="20"/>
                <w:szCs w:val="20"/>
              </w:rPr>
              <w:t xml:space="preserve">The AI never learns from data it was not given permission to use. It does not infer from behaviour it was not told it could observe. Consent is not assumed from continued use. It is explicitly given.</w:t>
            </w:r>
          </w:p>
          <w:p>
            <w:pPr>
              <w:spacing w:before="80"/>
            </w:pPr>
            <w:r>
              <w:rPr>
                <w:rFonts w:ascii="Arial" w:cs="Arial" w:eastAsia="Arial" w:hAnsi="Arial"/>
                <w:i/>
                <w:iCs/>
                <w:color w:val="666666"/>
                <w:sz w:val="19"/>
                <w:szCs w:val="19"/>
              </w:rPr>
              <w:t xml:space="preserve">This applies even if collecting more data would make the AI significantly better. The floor does not flex for performance.</w:t>
            </w:r>
          </w:p>
        </w:tc>
        <w:tc>
          <w:tcPr>
            <w:tcW w:type="dxa" w:w="3120"/>
            <w:tcBorders>
              <w:top w:val="single" w:color="CCCCCC" w:sz="1"/>
              <w:left w:val="single" w:color="CCCCCC" w:sz="1"/>
              <w:bottom w:val="single" w:color="CCCCCC" w:sz="1"/>
              <w:right w:val="single" w:color="CCCCCC" w:sz="1"/>
            </w:tcBorders>
            <w:shd w:fill="E1F5EE" w:val="clear"/>
            <w:tcMar>
              <w:top w:type="dxa" w:w="120"/>
              <w:left w:type="dxa" w:w="160"/>
              <w:bottom w:type="dxa" w:w="120"/>
              <w:right w:type="dxa" w:w="160"/>
            </w:tcMar>
          </w:tcPr>
          <w:p>
            <w:r>
              <w:rPr>
                <w:rFonts w:ascii="Arial" w:cs="Arial" w:eastAsia="Arial" w:hAnsi="Arial"/>
                <w:color w:val="333333"/>
                <w:sz w:val="20"/>
                <w:szCs w:val="20"/>
              </w:rPr>
              <w:t xml:space="preserve">The AI never learns to show users what keeps them on screen the longest, what makes them angry enough to share, or what triggers compulsive return. It optimises for what the user actually wants — which it asks, not infers.</w:t>
            </w:r>
          </w:p>
          <w:p>
            <w:pPr>
              <w:spacing w:before="80"/>
            </w:pPr>
            <w:r>
              <w:rPr>
                <w:rFonts w:ascii="Arial" w:cs="Arial" w:eastAsia="Arial" w:hAnsi="Arial"/>
                <w:i/>
                <w:iCs/>
                <w:color w:val="666666"/>
                <w:sz w:val="19"/>
                <w:szCs w:val="19"/>
              </w:rPr>
              <w:t xml:space="preserve">Engagement maximisation is not a goal. It is a prohibition.</w:t>
            </w:r>
          </w:p>
        </w:tc>
        <w:tc>
          <w:tcPr>
            <w:tcW w:type="dxa" w:w="3120"/>
            <w:tcBorders>
              <w:top w:val="single" w:color="CCCCCC" w:sz="1"/>
              <w:left w:val="single" w:color="CCCCCC" w:sz="1"/>
              <w:bottom w:val="single" w:color="CCCCCC" w:sz="1"/>
              <w:right w:val="single" w:color="CCCCCC" w:sz="1"/>
            </w:tcBorders>
            <w:shd w:fill="E6F1FB" w:val="clear"/>
            <w:tcMar>
              <w:top w:type="dxa" w:w="120"/>
              <w:left w:type="dxa" w:w="160"/>
              <w:bottom w:type="dxa" w:w="120"/>
              <w:right w:type="dxa" w:w="160"/>
            </w:tcMar>
          </w:tcPr>
          <w:p>
            <w:r>
              <w:rPr>
                <w:rFonts w:ascii="Arial" w:cs="Arial" w:eastAsia="Arial" w:hAnsi="Arial"/>
                <w:color w:val="333333"/>
                <w:sz w:val="20"/>
                <w:szCs w:val="20"/>
              </w:rPr>
              <w:t xml:space="preserve">Every decision the AI makes can be explained in plain language and traced back to a documented principle. No black-box optimisation. No unexplained weight adjustments. The charter governs the learning process, not just the output.</w:t>
            </w:r>
          </w:p>
          <w:p>
            <w:pPr>
              <w:spacing w:before="80"/>
            </w:pPr>
            <w:r>
              <w:rPr>
                <w:rFonts w:ascii="Arial" w:cs="Arial" w:eastAsia="Arial" w:hAnsi="Arial"/>
                <w:i/>
                <w:iCs/>
                <w:color w:val="666666"/>
                <w:sz w:val="19"/>
                <w:szCs w:val="19"/>
              </w:rPr>
              <w:t xml:space="preserve">If the AI cannot explain why it made a decision, it is not permitted to make it.</w:t>
            </w:r>
          </w:p>
        </w:tc>
      </w:tr>
    </w:tbl>
    <w:p>
      <w:pPr>
        <w:spacing w:before="80" w:after="80"/>
      </w:pPr>
      <w:r>
        <w:t xml:space="preserve"/>
      </w:r>
    </w:p>
    <w:p>
      <w:pPr>
        <w:pStyle w:val="Heading2"/>
        <w:spacing w:before="320" w:after="80"/>
      </w:pPr>
      <w:r>
        <w:rPr>
          <w:rFonts w:ascii="Arial" w:cs="Arial" w:eastAsia="Arial" w:hAnsi="Arial"/>
          <w:b/>
          <w:bCs/>
          <w:color w:val="534AB7"/>
          <w:sz w:val="28"/>
          <w:szCs w:val="28"/>
        </w:rPr>
        <w:t xml:space="preserve">The Constitutional Constraint: Governance Travels with the Code</w:t>
      </w:r>
    </w:p>
    <w:p>
      <w:pPr>
        <w:spacing w:before="60" w:after="100"/>
      </w:pPr>
      <w:r>
        <w:rPr>
          <w:rFonts w:ascii="Arial" w:cs="Arial" w:eastAsia="Arial" w:hAnsi="Arial"/>
          <w:color w:val="333333"/>
          <w:sz w:val="22"/>
          <w:szCs w:val="22"/>
        </w:rPr>
        <w:t>This is the most important technical decision the Vela Protocol makes and the one that most directly answers the governance failure of the conferences.</w:t>
      </w:r>
    </w:p>
    <w:p>
      <w:pPr>
        <w:spacing w:before="60" w:after="100"/>
      </w:pPr>
      <w:r>
        <w:rPr>
          <w:rFonts w:ascii="Arial" w:cs="Arial" w:eastAsia="Arial" w:hAnsi="Arial"/>
          <w:color w:val="333333"/>
          <w:sz w:val="22"/>
          <w:szCs w:val="22"/>
        </w:rPr>
        <w:t>Every application, website, and tool built on the Vela Protocol platform carries the charter as a technical dependency. The principles are not terms of service that a developer can override. They are architectural constraints that the code enforces. When a developer forks the codebase to build their own application, the fork inherits the floors. They can build on top of them. They cannot build below them.</w:t>
      </w:r>
    </w:p>
    <w:p>
      <w:pPr>
        <w:spacing w:before="60" w:after="100"/>
      </w:pPr>
      <w:r>
        <w:rPr>
          <w:rFonts w:ascii="Arial" w:cs="Arial" w:eastAsia="Arial" w:hAnsi="Arial"/>
          <w:color w:val="333333"/>
          <w:sz w:val="22"/>
          <w:szCs w:val="22"/>
        </w:rPr>
        <w:t xml:space="preserve">This is what the governance conferences could never achieve through negotiation: a technical standard that travels with the software wherever the software goes. Not because a treaty says so. Because the code says so.</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534AB7"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F7F5FF" w:val="clear"/>
            <w:tcMar>
              <w:top w:type="dxa" w:w="120"/>
              <w:left w:type="dxa" w:w="200"/>
              <w:bottom w:type="dxa" w:w="120"/>
              <w:right w:type="dxa" w:w="160"/>
            </w:tcMar>
          </w:tcPr>
          <w:p>
            <w:r>
              <w:rPr>
                <w:rFonts w:ascii="Arial" w:cs="Arial" w:eastAsia="Arial" w:hAnsi="Arial"/>
                <w:i/>
                <w:iCs/>
                <w:color w:val="0d0d1a"/>
                <w:sz w:val="22"/>
                <w:szCs w:val="22"/>
              </w:rPr>
              <w:t>Every app built on Vela Protocol carries the charter. Every website. Every API integration. The governance is in the dependency tree, not in the policy document. It cannot be deleted by a change of terms. It can only be removed by forking the foundation — at which point the fork is no longer Vela Protocol, and users know it.</w:t>
            </w:r>
          </w:p>
        </w:tc>
      </w:tr>
    </w:tbl>
    <w:p>
      <w:pPr>
        <w:pBdr>
          <w:bottom w:val="single" w:color="1D9E75" w:sz="6" w:space="1"/>
        </w:pBdr>
        <w:spacing w:before="180" w:after="180"/>
      </w:pPr>
      <w:r>
        <w:t xml:space="preserve"/>
      </w:r>
    </w:p>
    <w:p>
      <w:r>
        <w:br w:type="page"/>
      </w:r>
    </w:p>
    <w:p>
      <w:pPr>
        <w:pStyle w:val="Heading1"/>
        <w:spacing w:before="480" w:after="120"/>
      </w:pPr>
      <w:r>
        <w:rPr>
          <w:rFonts w:ascii="Arial" w:cs="Arial" w:eastAsia="Arial" w:hAnsi="Arial"/>
          <w:b/>
          <w:bCs/>
          <w:color w:val="0d0d1a"/>
          <w:sz w:val="40"/>
          <w:szCs w:val="40"/>
        </w:rPr>
        <w:t>Part Five: Vela Protocol as a Publishable Standard</w:t>
      </w:r>
    </w:p>
    <w:p>
      <w:pPr>
        <w:spacing w:before="60" w:after="100"/>
      </w:pPr>
      <w:r>
        <w:rPr>
          <w:rFonts w:ascii="Arial" w:cs="Arial" w:eastAsia="Arial" w:hAnsi="Arial"/>
          <w:color w:val="333333"/>
          <w:sz w:val="22"/>
          <w:szCs w:val="22"/>
        </w:rPr>
        <w:t>The Vela Protocol platform is designed to be copied. This is intentional. The goal is not to be the only private internet platform. The goal is to demonstrate that a private internet platform is buildable, viable, and preferable — so that other builders adopt the same architecture.</w:t>
      </w:r>
    </w:p>
    <w:p>
      <w:pPr>
        <w:spacing w:before="80" w:after="80"/>
      </w:pPr>
      <w:r>
        <w:t xml:space="preserve"/>
      </w:r>
    </w:p>
    <w:p>
      <w:pPr>
        <w:pStyle w:val="Heading2"/>
        <w:spacing w:before="320" w:after="80"/>
      </w:pPr>
      <w:r>
        <w:rPr>
          <w:rFonts w:ascii="Arial" w:cs="Arial" w:eastAsia="Arial" w:hAnsi="Arial"/>
          <w:b/>
          <w:bCs/>
          <w:color w:val="534AB7"/>
          <w:sz w:val="28"/>
          <w:szCs w:val="28"/>
        </w:rPr>
        <w:t>What the Vela Protocol standard publishes</w:t>
      </w:r>
    </w:p>
    <w:p>
      <w:pPr>
        <w:pStyle w:val="ListParagraph"/>
        <w:numPr>
          <w:ilvl w:val="0"/>
          <w:numId w:val="2"/>
        </w:numPr>
        <w:spacing w:before="40" w:after="40"/>
      </w:pPr>
      <w:r>
        <w:rPr>
          <w:rFonts w:ascii="Arial" w:cs="Arial" w:eastAsia="Arial" w:hAnsi="Arial"/>
          <w:color w:val="333333"/>
          <w:sz w:val="22"/>
          <w:szCs w:val="22"/>
        </w:rPr>
        <w:t xml:space="preserve">The full charter — all seven articles — as a freely adoptable legal and technical document</w:t>
      </w:r>
    </w:p>
    <w:p>
      <w:pPr>
        <w:pStyle w:val="ListParagraph"/>
        <w:numPr>
          <w:ilvl w:val="0"/>
          <w:numId w:val="2"/>
        </w:numPr>
        <w:spacing w:before="40" w:after="40"/>
      </w:pPr>
      <w:r>
        <w:rPr>
          <w:rFonts w:ascii="Arial" w:cs="Arial" w:eastAsia="Arial" w:hAnsi="Arial"/>
          <w:color w:val="333333"/>
          <w:sz w:val="22"/>
          <w:szCs w:val="22"/>
        </w:rPr>
        <w:t xml:space="preserve">The open source codebase for all five products — search engine, social assistant, wallet, website, and AI layer</w:t>
      </w:r>
    </w:p>
    <w:p>
      <w:pPr>
        <w:pStyle w:val="ListParagraph"/>
        <w:numPr>
          <w:ilvl w:val="0"/>
          <w:numId w:val="2"/>
        </w:numPr>
        <w:spacing w:before="40" w:after="40"/>
      </w:pPr>
      <w:r>
        <w:rPr>
          <w:rFonts w:ascii="Arial" w:cs="Arial" w:eastAsia="Arial" w:hAnsi="Arial"/>
          <w:color w:val="333333"/>
          <w:sz w:val="22"/>
          <w:szCs w:val="22"/>
        </w:rPr>
        <w:t xml:space="preserve">The algorithm transparency format — a template for how any ranking or recommendation system can publish its logic</w:t>
      </w:r>
    </w:p>
    <w:p>
      <w:pPr>
        <w:pStyle w:val="ListParagraph"/>
        <w:numPr>
          <w:ilvl w:val="0"/>
          <w:numId w:val="2"/>
        </w:numPr>
        <w:spacing w:before="40" w:after="40"/>
      </w:pPr>
      <w:r>
        <w:rPr>
          <w:rFonts w:ascii="Arial" w:cs="Arial" w:eastAsia="Arial" w:hAnsi="Arial"/>
          <w:color w:val="333333"/>
          <w:sz w:val="22"/>
          <w:szCs w:val="22"/>
        </w:rPr>
        <w:t xml:space="preserve">The data minimisation architecture — technical specifications for building applications that cannot collect what they are not permitted to use</w:t>
      </w:r>
    </w:p>
    <w:p>
      <w:pPr>
        <w:pStyle w:val="ListParagraph"/>
        <w:numPr>
          <w:ilvl w:val="0"/>
          <w:numId w:val="2"/>
        </w:numPr>
        <w:spacing w:before="40" w:after="40"/>
      </w:pPr>
      <w:r>
        <w:rPr>
          <w:rFonts w:ascii="Arial" w:cs="Arial" w:eastAsia="Arial" w:hAnsi="Arial"/>
          <w:color w:val="333333"/>
          <w:sz w:val="22"/>
          <w:szCs w:val="22"/>
        </w:rPr>
        <w:t xml:space="preserve">The consent framework — a standard for explicit, auditable, revocable user consent that is not buried in terms of service</w:t>
      </w:r>
    </w:p>
    <w:p>
      <w:pPr>
        <w:pStyle w:val="ListParagraph"/>
        <w:numPr>
          <w:ilvl w:val="0"/>
          <w:numId w:val="2"/>
        </w:numPr>
        <w:spacing w:before="40" w:after="40"/>
      </w:pPr>
      <w:r>
        <w:rPr>
          <w:rFonts w:ascii="Arial" w:cs="Arial" w:eastAsia="Arial" w:hAnsi="Arial"/>
          <w:color w:val="333333"/>
          <w:sz w:val="22"/>
          <w:szCs w:val="22"/>
        </w:rPr>
        <w:t xml:space="preserve">The AI governance floor specification — the three non-negotiable constraints that any self-learning system must enforce</w:t>
      </w:r>
    </w:p>
    <w:p>
      <w:pPr>
        <w:spacing w:before="80" w:after="80"/>
      </w:pPr>
      <w:r>
        <w:t xml:space="preserve"/>
      </w:r>
    </w:p>
    <w:p>
      <w:pPr>
        <w:pStyle w:val="Heading2"/>
        <w:spacing w:before="320" w:after="80"/>
      </w:pPr>
      <w:r>
        <w:rPr>
          <w:rFonts w:ascii="Arial" w:cs="Arial" w:eastAsia="Arial" w:hAnsi="Arial"/>
          <w:b/>
          <w:bCs/>
          <w:color w:val="534AB7"/>
          <w:sz w:val="28"/>
          <w:szCs w:val="28"/>
        </w:rPr>
        <w:t xml:space="preserve">How other builders adopt it</w:t>
      </w:r>
    </w:p>
    <w:p>
      <w:pPr>
        <w:spacing w:before="60" w:after="100"/>
      </w:pPr>
      <w:r>
        <w:rPr>
          <w:rFonts w:ascii="Arial" w:cs="Arial" w:eastAsia="Arial" w:hAnsi="Arial"/>
          <w:color w:val="333333"/>
          <w:sz w:val="22"/>
          <w:szCs w:val="22"/>
        </w:rPr>
        <w:t>A developer who builds a new application using the Vela Protocol standard commits to three things:</w:t>
      </w:r>
    </w:p>
    <w:p>
      <w:pPr>
        <w:pStyle w:val="ListParagraph"/>
        <w:numPr>
          <w:ilvl w:val="0"/>
          <w:numId w:val="2"/>
        </w:numPr>
        <w:spacing w:before="40" w:after="40"/>
      </w:pPr>
      <w:r>
        <w:rPr>
          <w:rFonts w:ascii="Arial" w:cs="Arial" w:eastAsia="Arial" w:hAnsi="Arial"/>
          <w:color w:val="333333"/>
          <w:sz w:val="22"/>
          <w:szCs w:val="22"/>
        </w:rPr>
        <w:t xml:space="preserve">Their application enforces all seven charter principles at the architectural level</w:t>
      </w:r>
    </w:p>
    <w:p>
      <w:pPr>
        <w:pStyle w:val="ListParagraph"/>
        <w:numPr>
          <w:ilvl w:val="0"/>
          <w:numId w:val="2"/>
        </w:numPr>
        <w:spacing w:before="40" w:after="40"/>
      </w:pPr>
      <w:r>
        <w:rPr>
          <w:rFonts w:ascii="Arial" w:cs="Arial" w:eastAsia="Arial" w:hAnsi="Arial"/>
          <w:color w:val="333333"/>
          <w:sz w:val="22"/>
          <w:szCs w:val="22"/>
        </w:rPr>
        <w:t xml:space="preserve">Their AI components, if any, enforce the three AI floors as non-negotiable constraints</w:t>
      </w:r>
    </w:p>
    <w:p>
      <w:pPr>
        <w:pStyle w:val="ListParagraph"/>
        <w:numPr>
          <w:ilvl w:val="0"/>
          <w:numId w:val="2"/>
        </w:numPr>
        <w:spacing w:before="40" w:after="40"/>
      </w:pPr>
      <w:r>
        <w:rPr>
          <w:rFonts w:ascii="Arial" w:cs="Arial" w:eastAsia="Arial" w:hAnsi="Arial"/>
          <w:color w:val="333333"/>
          <w:sz w:val="22"/>
          <w:szCs w:val="22"/>
        </w:rPr>
        <w:t>They publish their algorithm and data practices in the Vela Protocol transparency format</w:t>
      </w:r>
    </w:p>
    <w:p>
      <w:pPr>
        <w:spacing w:before="60" w:after="100"/>
      </w:pPr>
      <w:r>
        <w:rPr>
          <w:rFonts w:ascii="Arial" w:cs="Arial" w:eastAsia="Arial" w:hAnsi="Arial"/>
          <w:color w:val="333333"/>
          <w:sz w:val="22"/>
          <w:szCs w:val="22"/>
        </w:rPr>
        <w:t>In return, their application is listed as Vela Protocol-compatible — which means users know, before they touch it, that it will behave according to the standard. Not because the developer promised. Because the code was built that way and the architecture can be verified.</w:t>
      </w:r>
    </w:p>
    <w:p>
      <w:pPr>
        <w:spacing w:before="80" w:after="80"/>
      </w:pPr>
      <w:r>
        <w:t xml:space="preserve"/>
      </w:r>
    </w:p>
    <w:p>
      <w:pPr>
        <w:pStyle w:val="Heading2"/>
        <w:spacing w:before="320" w:after="80"/>
      </w:pPr>
      <w:r>
        <w:rPr>
          <w:rFonts w:ascii="Arial" w:cs="Arial" w:eastAsia="Arial" w:hAnsi="Arial"/>
          <w:b/>
          <w:bCs/>
          <w:color w:val="534AB7"/>
          <w:sz w:val="28"/>
          <w:szCs w:val="28"/>
        </w:rPr>
        <w:t xml:space="preserve">Why this works where conferences failed</w:t>
      </w:r>
    </w:p>
    <w:p>
      <w:pPr>
        <w:spacing w:before="60" w:after="100"/>
      </w:pPr>
      <w:r>
        <w:rPr>
          <w:rFonts w:ascii="Arial" w:cs="Arial" w:eastAsia="Arial" w:hAnsi="Arial"/>
          <w:color w:val="333333"/>
          <w:sz w:val="22"/>
          <w:szCs w:val="22"/>
        </w:rPr>
        <w:t xml:space="preserve">The governance conferences failed because they relied on goodwill and political agreement. States and corporations agreed to principles and then did not enforce them. There was no mechanism to compel compliance.</w:t>
      </w:r>
    </w:p>
    <w:p>
      <w:pPr>
        <w:spacing w:before="60" w:after="100"/>
      </w:pPr>
      <w:r>
        <w:rPr>
          <w:rFonts w:ascii="Arial" w:cs="Arial" w:eastAsia="Arial" w:hAnsi="Arial"/>
          <w:color w:val="333333"/>
          <w:sz w:val="22"/>
          <w:szCs w:val="22"/>
        </w:rPr>
        <w:t>The Vela Protocol standard works differently because it operates at the technical layer. A developer either builds with the constraints or they build something else. There is no way to be partially Vela Protocol-compliant any more than you can partially implement TCP/IP. The standard is binary. You implement it or you do not. And users can verify which is true.</w:t>
      </w:r>
    </w:p>
    <w:p>
      <w:pPr>
        <w:spacing w:before="60" w:after="100"/>
      </w:pPr>
      <w:r>
        <w:rPr>
          <w:rFonts w:ascii="Arial" w:cs="Arial" w:eastAsia="Arial" w:hAnsi="Arial"/>
          <w:color w:val="333333"/>
          <w:sz w:val="22"/>
          <w:szCs w:val="22"/>
        </w:rPr>
        <w:t>This is not utopian. Vela Protocol cannot govern the whole internet. What it can do is demonstrate that the principles work, attract users who value them, and build a developer community that propagates them. The market the conferences kept invoking — the idea that users will choose privacy if they have the choice — requires that the choice exists and is recognisable. Vela Protocol makes both true.</w:t>
      </w:r>
    </w:p>
    <w:p>
      <w:pPr>
        <w:pBdr>
          <w:bottom w:val="single" w:color="1D9E75" w:sz="6" w:space="1"/>
        </w:pBdr>
        <w:spacing w:before="180" w:after="180"/>
      </w:pPr>
      <w:r>
        <w:t xml:space="preserve"/>
      </w:r>
    </w:p>
    <w:p>
      <w:r>
        <w:br w:type="page"/>
      </w:r>
    </w:p>
    <w:p>
      <w:pPr>
        <w:pStyle w:val="Heading1"/>
        <w:spacing w:before="480" w:after="120"/>
      </w:pPr>
      <w:r>
        <w:rPr>
          <w:rFonts w:ascii="Arial" w:cs="Arial" w:eastAsia="Arial" w:hAnsi="Arial"/>
          <w:b/>
          <w:bCs/>
          <w:color w:val="0d0d1a"/>
          <w:sz w:val="40"/>
          <w:szCs w:val="40"/>
        </w:rPr>
        <w:t xml:space="preserve">Appendix: On Individual Actors and Institutional Change</w:t>
      </w:r>
    </w:p>
    <w:p>
      <w:pPr>
        <w:spacing w:before="60" w:after="100"/>
      </w:pPr>
      <w:r>
        <w:rPr>
          <w:rFonts w:ascii="Arial" w:cs="Arial" w:eastAsia="Arial" w:hAnsi="Arial"/>
          <w:color w:val="333333"/>
          <w:sz w:val="22"/>
          <w:szCs w:val="22"/>
        </w:rPr>
        <w:t xml:space="preserve">The governance discourse around the internet has produced a recurring figure: the individual who exposes systemic wrongdoing at personal cost and is treated as either a hero or a traitor depending on who is speaking. This framing is worth examining, because it misunderstands how systems change.</w:t>
      </w:r>
    </w:p>
    <w:p>
      <w:pPr>
        <w:spacing w:before="80" w:after="80"/>
      </w:pPr>
      <w:r>
        <w:t xml:space="preserve"/>
      </w:r>
    </w:p>
    <w:p>
      <w:pPr>
        <w:pStyle w:val="Heading2"/>
        <w:spacing w:before="320" w:after="80"/>
      </w:pPr>
      <w:r>
        <w:rPr>
          <w:rFonts w:ascii="Arial" w:cs="Arial" w:eastAsia="Arial" w:hAnsi="Arial"/>
          <w:b/>
          <w:bCs/>
          <w:color w:val="534AB7"/>
          <w:sz w:val="28"/>
          <w:szCs w:val="28"/>
        </w:rPr>
        <w:t xml:space="preserve">The Snowden Question</w:t>
      </w:r>
    </w:p>
    <w:p>
      <w:pPr>
        <w:spacing w:before="60" w:after="100"/>
      </w:pPr>
      <w:r>
        <w:rPr>
          <w:rFonts w:ascii="Arial" w:cs="Arial" w:eastAsia="Arial" w:hAnsi="Arial"/>
          <w:color w:val="333333"/>
          <w:sz w:val="22"/>
          <w:szCs w:val="22"/>
        </w:rPr>
        <w:t xml:space="preserve">Edward Snowden is cited in almost every analysis of post-2013 internet governance as the catalyst that forced the privacy conversation. This is partially true and worth examining precisely.</w:t>
      </w:r>
    </w:p>
    <w:p>
      <w:pPr>
        <w:spacing w:before="60" w:after="100"/>
      </w:pPr>
      <w:r>
        <w:rPr>
          <w:rFonts w:ascii="Arial" w:cs="Arial" w:eastAsia="Arial" w:hAnsi="Arial"/>
          <w:color w:val="333333"/>
          <w:sz w:val="22"/>
          <w:szCs w:val="22"/>
        </w:rPr>
        <w:t xml:space="preserve">Snowden spent years as a paid employee of the surveillance apparatus he later claimed to expose. He understood, accepted, and operated the systems. The question this raises is not one of character but of framing: if you agreed to build the surveillance state as your professional contribution, what does it mean to ‘blow the whistle’ on it?</w:t>
      </w:r>
    </w:p>
    <w:p>
      <w:pPr>
        <w:spacing w:before="60" w:after="100"/>
      </w:pPr>
      <w:r>
        <w:rPr>
          <w:rFonts w:ascii="Arial" w:cs="Arial" w:eastAsia="Arial" w:hAnsi="Arial"/>
          <w:color w:val="333333"/>
          <w:sz w:val="22"/>
          <w:szCs w:val="22"/>
        </w:rPr>
        <w:t xml:space="preserve">The more serious analytical question is what his disclosures actually produced. The case that Snowden normalised rather than curtailed surveillance is supported by the evidence. Before 2013, mass digital surveillance was legally contested and politically sensitive. After 2013 — after Snowden named it, quantified it, and made it publicly known — it became a normalised fact that governments and courts could reference openly. The USA FREEDOM Act of 2015, the reform most attributed to his disclosures, ended one telephone metadata programme. Warrantless collection expanded in the years that followed. The intelligence community gained something from the Snowden moment: public acknowledgement of capabilities they previously had to deny.</w:t>
      </w:r>
    </w:p>
    <w:p>
      <w:pPr>
        <w:spacing w:before="60" w:after="100"/>
      </w:pPr>
      <w:r>
        <w:rPr>
          <w:rFonts w:ascii="Arial" w:cs="Arial" w:eastAsia="Arial" w:hAnsi="Arial"/>
          <w:color w:val="333333"/>
          <w:sz w:val="22"/>
          <w:szCs w:val="22"/>
        </w:rPr>
        <w:t xml:space="preserve">He has also made specific claims about Israeli intelligence operations that have not been verified and that contradict reporting by journalists who have worked directly with intelligence documents. Claims an intelligence agency withholds from its closest allies do not become credible simply because a former contractor asserts them from abroad.</w:t>
      </w:r>
    </w:p>
    <w:p>
      <w:pPr>
        <w:spacing w:before="60" w:after="100"/>
      </w:pPr>
      <w:r>
        <w:rPr>
          <w:rFonts w:ascii="Arial" w:cs="Arial" w:eastAsia="Arial" w:hAnsi="Arial"/>
          <w:color w:val="333333"/>
          <w:sz w:val="22"/>
          <w:szCs w:val="22"/>
        </w:rPr>
        <w:t xml:space="preserve">He has lived in Russia since 2013 — a country with the most extensive domestic surveillance architecture in Europe. This context does not resolve the question of his motives. It does complicate his authority on privacy.</w:t>
      </w:r>
    </w:p>
    <w:p>
      <w:pPr>
        <w:spacing w:before="60" w:after="100"/>
      </w:pPr>
      <w:r>
        <w:rPr>
          <w:rFonts w:ascii="Arial" w:cs="Arial" w:eastAsia="Arial" w:hAnsi="Arial"/>
          <w:color w:val="333333"/>
          <w:sz w:val="22"/>
          <w:szCs w:val="22"/>
        </w:rPr>
        <w:t xml:space="preserve">None of this makes him simply a villain or simply a fraud. It makes him a complicated figure whose impact on actual governance was significantly more ambiguous than his treatment as a hero or a traitor allows. The internet’s privacy problem was not solved by his disclosures. It got worse.</w:t>
      </w:r>
    </w:p>
    <w:p>
      <w:pPr>
        <w:spacing w:before="80" w:after="80"/>
      </w:pPr>
      <w:r>
        <w:t xml:space="preserve"/>
      </w:r>
    </w:p>
    <w:p>
      <w:pPr>
        <w:pStyle w:val="Heading2"/>
        <w:spacing w:before="320" w:after="80"/>
      </w:pPr>
      <w:r>
        <w:rPr>
          <w:rFonts w:ascii="Arial" w:cs="Arial" w:eastAsia="Arial" w:hAnsi="Arial"/>
          <w:b/>
          <w:bCs/>
          <w:color w:val="534AB7"/>
          <w:sz w:val="28"/>
          <w:szCs w:val="28"/>
        </w:rPr>
        <w:t xml:space="preserve">The Assange Question</w:t>
      </w:r>
    </w:p>
    <w:p>
      <w:pPr>
        <w:spacing w:before="60" w:after="100"/>
      </w:pPr>
      <w:r>
        <w:rPr>
          <w:rFonts w:ascii="Arial" w:cs="Arial" w:eastAsia="Arial" w:hAnsi="Arial"/>
          <w:color w:val="333333"/>
          <w:sz w:val="22"/>
          <w:szCs w:val="22"/>
        </w:rPr>
        <w:t xml:space="preserve">WikiLeaks performed a genuine public service: publishing documented evidence of government and corporate wrongdoing that would not otherwise have reached public scrutiny. The Iraq War Logs and the Diplomatic Cables revealed specific, verifiable abuses.</w:t>
      </w:r>
    </w:p>
    <w:p>
      <w:pPr>
        <w:spacing w:before="60" w:after="100"/>
      </w:pPr>
      <w:r>
        <w:rPr>
          <w:rFonts w:ascii="Arial" w:cs="Arial" w:eastAsia="Arial" w:hAnsi="Arial"/>
          <w:color w:val="333333"/>
          <w:sz w:val="22"/>
          <w:szCs w:val="22"/>
        </w:rPr>
        <w:t xml:space="preserve">The harm was also specific and documented. WikiLeaks’ own publishing partners — Der Spiegel, The Guardian, The New York Times, Le Monde, and El País — all agreed to redact the names of sources and informants in dangerous locations before publication. Assange broke that agreement and released unredacted documents. Named Iraqi informants and civil society contacts faced direct physical danger. Some were forced to flee. Some were harmed. The argument that this was justified by the public interest in the broader disclosures is not one that the people named in those documents were asked to make.</w:t>
      </w:r>
    </w:p>
    <w:p>
      <w:pPr>
        <w:spacing w:before="60" w:after="100"/>
      </w:pPr>
      <w:r>
        <w:rPr>
          <w:rFonts w:ascii="Arial" w:cs="Arial" w:eastAsia="Arial" w:hAnsi="Arial"/>
          <w:color w:val="333333"/>
          <w:sz w:val="22"/>
          <w:szCs w:val="22"/>
        </w:rPr>
        <w:t xml:space="preserve">The governance failure here is the same one the conferences exhibit: good principles applied without accountability for consequences. Publishing the truth matters. Who bears the cost of how you publish it also matters.</w:t>
      </w:r>
    </w:p>
    <w:p>
      <w:pPr>
        <w:spacing w:before="80" w:after="80"/>
      </w:pPr>
      <w:r>
        <w:t xml:space="preserve"/>
      </w:r>
    </w:p>
    <w:p>
      <w:pPr>
        <w:pStyle w:val="Heading2"/>
        <w:spacing w:before="320" w:after="80"/>
      </w:pPr>
      <w:r>
        <w:rPr>
          <w:rFonts w:ascii="Arial" w:cs="Arial" w:eastAsia="Arial" w:hAnsi="Arial"/>
          <w:b/>
          <w:bCs/>
          <w:color w:val="534AB7"/>
          <w:sz w:val="28"/>
          <w:szCs w:val="28"/>
        </w:rPr>
        <w:t xml:space="preserve">What Real Change Looks Like</w:t>
      </w:r>
    </w:p>
    <w:p>
      <w:pPr>
        <w:spacing w:before="60" w:after="100"/>
      </w:pPr>
      <w:r>
        <w:rPr>
          <w:rFonts w:ascii="Arial" w:cs="Arial" w:eastAsia="Arial" w:hAnsi="Arial"/>
          <w:color w:val="333333"/>
          <w:sz w:val="22"/>
          <w:szCs w:val="22"/>
        </w:rPr>
        <w:t xml:space="preserve">The internet does not need heroes. It does not need dramatic individual acts of revelation. It needs institutional change: governance built into architecture, accountability built into code, transparency built into the protocol.</w:t>
      </w:r>
    </w:p>
    <w:p>
      <w:pPr>
        <w:spacing w:before="60" w:after="100"/>
      </w:pPr>
      <w:r>
        <w:rPr>
          <w:rFonts w:ascii="Arial" w:cs="Arial" w:eastAsia="Arial" w:hAnsi="Arial"/>
          <w:color w:val="333333"/>
          <w:sz w:val="22"/>
          <w:szCs w:val="22"/>
        </w:rPr>
        <w:t xml:space="preserve">The people who have advanced this most effectively are not famous for it:</w:t>
      </w:r>
    </w:p>
    <w:p>
      <w:pPr>
        <w:pStyle w:val="ListParagraph"/>
        <w:numPr>
          <w:ilvl w:val="0"/>
          <w:numId w:val="2"/>
        </w:numPr>
        <w:spacing w:before="40" w:after="40"/>
      </w:pPr>
      <w:r>
        <w:rPr>
          <w:rFonts w:ascii="Arial" w:cs="Arial" w:eastAsia="Arial" w:hAnsi="Arial"/>
          <w:color w:val="333333"/>
          <w:sz w:val="22"/>
          <w:szCs w:val="22"/>
        </w:rPr>
        <w:t xml:space="preserve">Tim Berners-Lee, who invented the web without patenting it, gave it away, and has spent thirty years building toward the open, user-respecting web he intended — at the World Wide Web Consortium, in open standards bodies, and in public advocacy without drama</w:t>
      </w:r>
    </w:p>
    <w:p>
      <w:pPr>
        <w:pStyle w:val="ListParagraph"/>
        <w:numPr>
          <w:ilvl w:val="0"/>
          <w:numId w:val="2"/>
        </w:numPr>
        <w:spacing w:before="40" w:after="40"/>
      </w:pPr>
      <w:r>
        <w:rPr>
          <w:rFonts w:ascii="Arial" w:cs="Arial" w:eastAsia="Arial" w:hAnsi="Arial"/>
          <w:color w:val="333333"/>
          <w:sz w:val="22"/>
          <w:szCs w:val="22"/>
        </w:rPr>
        <w:t xml:space="preserve">The engineers and lawyers at the Electronic Frontier Foundation, who have litigated digital rights for thirty-five years, documented surveillance technology systematically, and produced public educational resources without seeking personal celebrity</w:t>
      </w:r>
    </w:p>
    <w:p>
      <w:pPr>
        <w:pStyle w:val="ListParagraph"/>
        <w:numPr>
          <w:ilvl w:val="0"/>
          <w:numId w:val="2"/>
        </w:numPr>
        <w:spacing w:before="40" w:after="40"/>
      </w:pPr>
      <w:r>
        <w:rPr>
          <w:rFonts w:ascii="Arial" w:cs="Arial" w:eastAsia="Arial" w:hAnsi="Arial"/>
          <w:color w:val="333333"/>
          <w:sz w:val="22"/>
          <w:szCs w:val="22"/>
        </w:rPr>
        <w:t xml:space="preserve">The Brazilian CGI.br team, who built the multi-stakeholder governance model that made NETmundial possible and whose Marco Civil da Internet remains the gold standard for national user rights legislation</w:t>
      </w:r>
    </w:p>
    <w:p>
      <w:pPr>
        <w:pStyle w:val="ListParagraph"/>
        <w:numPr>
          <w:ilvl w:val="0"/>
          <w:numId w:val="2"/>
        </w:numPr>
        <w:spacing w:before="40" w:after="40"/>
      </w:pPr>
      <w:r>
        <w:rPr>
          <w:rFonts w:ascii="Arial" w:cs="Arial" w:eastAsia="Arial" w:hAnsi="Arial"/>
          <w:color w:val="333333"/>
          <w:sz w:val="22"/>
          <w:szCs w:val="22"/>
        </w:rPr>
        <w:t xml:space="preserve">The Privacy International researchers, who document corporate and state surveillance methodically and make their findings freely available without requiring personal attribution</w:t>
      </w:r>
    </w:p>
    <w:p>
      <w:pPr>
        <w:pStyle w:val="ListParagraph"/>
        <w:numPr>
          <w:ilvl w:val="0"/>
          <w:numId w:val="2"/>
        </w:numPr>
        <w:spacing w:before="40" w:after="40"/>
      </w:pPr>
      <w:r>
        <w:rPr>
          <w:rFonts w:ascii="Arial" w:cs="Arial" w:eastAsia="Arial" w:hAnsi="Arial"/>
          <w:color w:val="333333"/>
          <w:sz w:val="22"/>
          <w:szCs w:val="22"/>
        </w:rPr>
        <w:t xml:space="preserve">The IETF engineers who have built privacy protections into internet protocols — DNS over HTTPS, encrypted SNI, TLS 1.3 — through the unglamorous process of writing specifications and achieving consensus in technical working groups</w:t>
      </w:r>
    </w:p>
    <w:p>
      <w:pPr>
        <w:spacing w:before="80" w:after="80"/>
      </w:pPr>
      <w:r>
        <w:t xml:space="preserve"/>
      </w:r>
    </w:p>
    <w:p>
      <w:pPr>
        <w:spacing w:before="60" w:after="100"/>
      </w:pPr>
      <w:r>
        <w:rPr>
          <w:rFonts w:ascii="Arial" w:cs="Arial" w:eastAsia="Arial" w:hAnsi="Arial"/>
          <w:color w:val="333333"/>
          <w:sz w:val="22"/>
          <w:szCs w:val="22"/>
        </w:rPr>
        <w:t xml:space="preserve">The pattern is consistent. Real change is institutional, persistent, accountable, and unglamorous. It happens in courts, in standards bodies, in legislative hearings, in technical working groups. It does not require a dramatic moment of revelation.</w:t>
      </w:r>
    </w:p>
    <w:p>
      <w:pPr>
        <w:spacing w:before="60" w:after="100"/>
      </w:pPr>
      <w:r>
        <w:rPr>
          <w:rFonts w:ascii="Arial" w:cs="Arial" w:eastAsia="Arial" w:hAnsi="Arial"/>
          <w:color w:val="333333"/>
          <w:sz w:val="22"/>
          <w:szCs w:val="22"/>
        </w:rPr>
        <w:t>The Vela Protocol charter is written in this tradition. The rules before the code. The governance in the architecture. The accountability in the transparency. Not because a hero decided it. Because a builder demanded it of themselves before they wrote a line.</w:t>
      </w:r>
    </w:p>
    <w:p>
      <w:pPr>
        <w:pBdr>
          <w:bottom w:val="single" w:color="1D9E75" w:sz="6" w:space="1"/>
        </w:pBdr>
        <w:spacing w:before="180" w:after="180"/>
      </w:pPr>
      <w:r>
        <w:t xml:space="preserve"/>
      </w:r>
    </w:p>
    <w:p>
      <w:pPr>
        <w:pStyle w:val="Heading1"/>
        <w:spacing w:before="480" w:after="120"/>
      </w:pPr>
      <w:r>
        <w:rPr>
          <w:rFonts w:ascii="Arial" w:cs="Arial" w:eastAsia="Arial" w:hAnsi="Arial"/>
          <w:b/>
          <w:bCs/>
          <w:color w:val="0d0d1a"/>
          <w:sz w:val="40"/>
          <w:szCs w:val="40"/>
        </w:rPr>
        <w:t xml:space="preserve">Conclusion: The Demonstration Is the Argument</w:t>
      </w:r>
    </w:p>
    <w:p>
      <w:pPr>
        <w:spacing w:before="60" w:after="100"/>
      </w:pPr>
      <w:r>
        <w:rPr>
          <w:rFonts w:ascii="Arial" w:cs="Arial" w:eastAsia="Arial" w:hAnsi="Arial"/>
          <w:color w:val="333333"/>
          <w:sz w:val="22"/>
          <w:szCs w:val="22"/>
        </w:rPr>
        <w:t xml:space="preserve">Twenty years of conferences produced twenty years of correct principles and zero years of enforcement. The principles are not the problem. The absence of working demonstration is.</w:t>
      </w:r>
    </w:p>
    <w:p>
      <w:pPr>
        <w:spacing w:before="60" w:after="100"/>
      </w:pPr>
      <w:r>
        <w:rPr>
          <w:rFonts w:ascii="Arial" w:cs="Arial" w:eastAsia="Arial" w:hAnsi="Arial"/>
          <w:color w:val="333333"/>
          <w:sz w:val="22"/>
          <w:szCs w:val="22"/>
        </w:rPr>
        <w:t>The Vela Protocol — the developer hub for Velcro Wallet and future related AI and Web3 projects does not claim to govern the internet. It claims to show what a governed piece of it looks like, running, usable, verifiable. The search engine that publishes its algorithm. The social assistant that never learns to manipulate. The wallet that never holds your keys. The website that proves its own principles by architecture rather than assertion.</w:t>
      </w:r>
    </w:p>
    <w:p>
      <w:pPr>
        <w:spacing w:before="60" w:after="100"/>
      </w:pPr>
      <w:r>
        <w:rPr>
          <w:rFonts w:ascii="Arial" w:cs="Arial" w:eastAsia="Arial" w:hAnsi="Arial"/>
          <w:color w:val="333333"/>
          <w:sz w:val="22"/>
          <w:szCs w:val="22"/>
        </w:rPr>
        <w:t>When another developer looks at the Vela Protocol codebase and says ‘I can build like this’ — that is governance by demonstration, which is the only kind the internet has ever actually respected. Standards that work get adopted. Arguments that run are more persuasive than arguments that are published.</w:t>
      </w:r>
    </w:p>
    <w:p>
      <w:pPr>
        <w:spacing w:before="60" w:after="100"/>
      </w:pPr>
      <w:r>
        <w:rPr>
          <w:rFonts w:ascii="Arial" w:cs="Arial" w:eastAsia="Arial" w:hAnsi="Arial"/>
          <w:color w:val="333333"/>
          <w:sz w:val="22"/>
          <w:szCs w:val="22"/>
        </w:rPr>
        <w:t>The conferences were right about what was needed. The Vela Protocol is an attempt to build it. The two are not in competition. The paper and the code are the same argument made in different languages.</w:t>
      </w:r>
    </w:p>
    <w:p>
      <w:pPr>
        <w:spacing w:before="80" w:after="8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
        <w:gridCol w:w="9120"/>
      </w:tblGrid>
      <w:tr>
        <w:tc>
          <w:tcPr>
            <w:tcW w:type="dxa" w:w="240"/>
            <w:tcBorders>
              <w:top w:val="none" w:color="FFFFFF" w:sz="0"/>
              <w:left w:val="none" w:color="FFFFFF" w:sz="0"/>
              <w:bottom w:val="none" w:color="FFFFFF" w:sz="0"/>
              <w:right w:val="none" w:color="FFFFFF" w:sz="0"/>
            </w:tcBorders>
            <w:shd w:fill="1D9E75" w:val="clear"/>
            <w:tcMar>
              <w:top w:type="dxa" w:w="80"/>
              <w:left w:type="dxa" w:w="80"/>
              <w:bottom w:type="dxa" w:w="80"/>
              <w:right w:type="dxa" w:w="80"/>
            </w:tcMar>
          </w:tcPr>
          <w:p>
            <w:r>
              <w:t xml:space="preserve"/>
            </w:r>
          </w:p>
        </w:tc>
        <w:tc>
          <w:tcPr>
            <w:tcW w:type="dxa" w:w="9120"/>
            <w:tcBorders>
              <w:top w:val="none" w:color="FFFFFF" w:sz="0"/>
              <w:left w:val="none" w:color="FFFFFF" w:sz="0"/>
              <w:bottom w:val="none" w:color="FFFFFF" w:sz="0"/>
              <w:right w:val="none" w:color="FFFFFF" w:sz="0"/>
            </w:tcBorders>
            <w:shd w:fill="E1F5EE" w:val="clear"/>
            <w:tcMar>
              <w:top w:type="dxa" w:w="120"/>
              <w:left w:type="dxa" w:w="200"/>
              <w:bottom w:type="dxa" w:w="120"/>
              <w:right w:type="dxa" w:w="160"/>
            </w:tcMar>
          </w:tcPr>
          <w:p>
            <w:r>
              <w:rPr>
                <w:rFonts w:ascii="Arial" w:cs="Arial" w:eastAsia="Arial" w:hAnsi="Arial"/>
                <w:i/>
                <w:iCs/>
                <w:color w:val="0d0d1a"/>
                <w:sz w:val="22"/>
                <w:szCs w:val="22"/>
              </w:rPr>
              <w:t xml:space="preserve">We will teach the internet to love before we teach it to sell. Not by declaring it. By demonstrating it. Every search result. Every social post scheduled. Every wallet transaction. Every line of published code. The demonstration is the argument. The architecture is the governance.</w:t>
            </w:r>
          </w:p>
        </w:tc>
      </w:tr>
    </w:tbl>
    <w:p>
      <w:pPr>
        <w:spacing w:before="80" w:after="80"/>
      </w:pPr>
      <w:r>
        <w:t xml:space="preserve"/>
      </w:r>
    </w:p>
    <w:p>
      <w:pPr>
        <w:spacing w:before="200" w:after="0"/>
        <w:jc w:val="center"/>
      </w:pPr>
      <w:r>
        <w:rPr>
          <w:rFonts w:ascii="Arial" w:cs="Arial" w:eastAsia="Arial" w:hAnsi="Arial"/>
          <w:color w:val="AAAAAA"/>
          <w:sz w:val="18"/>
          <w:szCs w:val="18"/>
        </w:rPr>
        <w:t>Vela Protocol — the developer hub for Velcro Wallet and future related AI and Web3 projects — Internet Governance White Paper — March 2026</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30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80" w:after="120"/>
      <w:outlineLvl w:val="0"/>
    </w:pPr>
    <w:rPr>
      <w:rFonts w:ascii="Arial" w:cs="Arial" w:eastAsia="Arial" w:hAnsi="Arial"/>
      <w:b/>
      <w:bCs/>
      <w:sz w:val="40"/>
      <w:szCs w:val="40"/>
    </w:rPr>
  </w:style>
  <w:style w:type="paragraph" w:styleId="Heading2">
    <w:name w:val="Heading 2"/>
    <w:basedOn w:val="Normal"/>
    <w:next w:val="Normal"/>
    <w:qFormat/>
    <w:pPr>
      <w:spacing w:before="320" w:after="80"/>
      <w:outlineLvl w:val="1"/>
    </w:pPr>
    <w:rPr>
      <w:rFonts w:ascii="Arial" w:cs="Arial" w:eastAsia="Arial" w:hAnsi="Arial"/>
      <w:b/>
      <w:bCs/>
      <w:sz w:val="28"/>
      <w:szCs w:val="28"/>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ntTable" Target="fontTable.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2026-03-29T23:29:57.351Z</dcterms:created>
  <dcterms:modified xsi:type="dcterms:W3CDTF">2026-03-29T23:29:57.351Z</dcterms:modified>
</cp:coreProperties>
</file>

<file path=docProps/custom.xml><?xml version="1.0" encoding="utf-8"?>
<Properties xmlns="http://schemas.openxmlformats.org/officeDocument/2006/custom-properties" xmlns:vt="http://schemas.openxmlformats.org/officeDocument/2006/docPropsVTypes"/>
</file>