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440" w:after="80"/>
        <w:jc w:val="center"/>
      </w:pPr>
      <w:r>
        <w:rPr>
          <w:rFonts w:ascii="Arial" w:cs="Arial" w:eastAsia="Arial" w:hAnsi="Arial"/>
          <w:b/>
          <w:bCs/>
          <w:color w:val="534AB7"/>
          <w:sz w:val="56"/>
          <w:szCs w:val="56"/>
        </w:rPr>
        <w:t>VELA PROTOCOL</w:t>
      </w:r>
    </w:p>
    <w:p>
      <w:pPr>
        <w:spacing w:before="0" w:after="80"/>
        <w:jc w:val="center"/>
      </w:pPr>
      <w:r>
        <w:rPr>
          <w:rFonts w:ascii="Arial" w:cs="Arial" w:eastAsia="Arial" w:hAnsi="Arial"/>
          <w:color w:val="1D9E75"/>
          <w:sz w:val="30"/>
          <w:szCs w:val="30"/>
        </w:rPr>
        <w:t xml:space="preserve">Legal Structure Plan</w:t>
      </w:r>
    </w:p>
    <w:p>
      <w:pPr>
        <w:spacing w:before="0" w:after="80"/>
        <w:jc w:val="center"/>
      </w:pPr>
      <w:r>
        <w:rPr>
          <w:rFonts w:ascii="Arial" w:cs="Arial" w:eastAsia="Arial" w:hAnsi="Arial"/>
          <w:color w:val="993C1D"/>
          <w:sz w:val="24"/>
          <w:szCs w:val="24"/>
        </w:rPr>
        <w:t xml:space="preserve">Swiss citizen — not domiciled in Switzerland</w:t>
      </w:r>
    </w:p>
    <w:p>
      <w:pPr>
        <w:spacing w:before="0" w:after="500"/>
        <w:jc w:val="center"/>
      </w:pPr>
      <w:r>
        <w:rPr>
          <w:rFonts w:ascii="Arial" w:cs="Arial" w:eastAsia="Arial" w:hAnsi="Arial"/>
          <w:color w:val="888888"/>
          <w:sz w:val="20"/>
          <w:szCs w:val="20"/>
        </w:rPr>
        <w:t xml:space="preserve">The realistic options, the recommended path, and the Swiss strategy</w:t>
      </w:r>
    </w:p>
    <w:p>
      <w:pPr>
        <w:pBdr>
          <w:top w:val="single" w:color="1D9E75" w:sz="8" w:space="4"/>
          <w:bottom w:val="single" w:color="1D9E75" w:sz="8" w:space="4"/>
        </w:pBdr>
        <w:spacing w:before="120" w:after="120"/>
        <w:jc w:val="center"/>
      </w:pPr>
      <w:r>
        <w:rPr>
          <w:rFonts w:ascii="Arial" w:cs="Arial" w:eastAsia="Arial" w:hAnsi="Arial"/>
          <w:b/>
          <w:bCs/>
          <w:i/>
          <w:iCs/>
          <w:color w:val="0d0d1a"/>
          <w:sz w:val="24"/>
          <w:szCs w:val="24"/>
        </w:rPr>
        <w:t xml:space="preserve">Swiss citizenship is the asset. Not being domiciled there is the constraint. Both are real. Both are workable.</w:t>
      </w:r>
    </w:p>
    <w:p>
      <w:pPr>
        <w:spacing w:before="80" w:after="80"/>
      </w:pPr>
      <w:r>
        <w:t xml:space="preserve"/>
      </w:r>
    </w:p>
    <w:p>
      <w:pPr>
        <w:spacing w:before="200" w:after="2400"/>
        <w:jc w:val="center"/>
      </w:pPr>
      <w:r>
        <w:rPr>
          <w:rFonts w:ascii="Arial" w:cs="Arial" w:eastAsia="Arial" w:hAnsi="Arial"/>
          <w:i/>
          <w:iCs/>
          <w:color w:val="888888"/>
          <w:sz w:val="20"/>
          <w:szCs w:val="20"/>
        </w:rPr>
        <w:t xml:space="preserve">March 2026 — Confidential working document</w:t>
      </w:r>
    </w:p>
    <w:p>
      <w:r>
        <w:br w:type="page"/>
      </w:r>
    </w:p>
    <w:p>
      <w:pPr>
        <w:pStyle w:val="Heading1"/>
        <w:spacing w:before="480" w:after="120"/>
      </w:pPr>
      <w:r>
        <w:rPr>
          <w:rFonts w:ascii="Arial" w:cs="Arial" w:eastAsia="Arial" w:hAnsi="Arial"/>
          <w:b/>
          <w:bCs/>
          <w:color w:val="0d0d1a"/>
          <w:sz w:val="40"/>
          <w:szCs w:val="40"/>
        </w:rPr>
        <w:t xml:space="preserve">The Honest Situation</w:t>
      </w:r>
    </w:p>
    <w:p>
      <w:pPr>
        <w:spacing w:before="60" w:after="100"/>
      </w:pPr>
      <w:r>
        <w:rPr>
          <w:rFonts w:ascii="Arial" w:cs="Arial" w:eastAsia="Arial" w:hAnsi="Arial"/>
          <w:color w:val="333333"/>
          <w:sz w:val="22"/>
          <w:szCs w:val="22"/>
        </w:rPr>
        <w:t xml:space="preserve">You are Swiss by citizenship but not domiciled in Switzerland. This matters because Swiss law requires that any GmbH or AG have at least one managing director or board member physically resident in Switzerland with signatory authority. You cannot fake this. Switzerland does not allow it. The commercial register is public and audited.</w:t>
      </w:r>
    </w:p>
    <w:p>
      <w:pPr>
        <w:spacing w:before="60" w:after="100"/>
      </w:pPr>
      <w:r>
        <w:rPr>
          <w:rFonts w:ascii="Arial" w:cs="Arial" w:eastAsia="Arial" w:hAnsi="Arial"/>
          <w:color w:val="333333"/>
          <w:sz w:val="22"/>
          <w:szCs w:val="22"/>
        </w:rPr>
        <w:t xml:space="preserve">You also cannot register a Verein (association) remotely without a physical Swiss address and a presence in a canton. The romantic idea of 'just register it in Geneva' does not work from abroad without a real local anchor.</w:t>
      </w:r>
    </w:p>
    <w:p>
      <w:pPr>
        <w:spacing w:before="60" w:after="100"/>
      </w:pPr>
      <w:r>
        <w:rPr>
          <w:rFonts w:ascii="Arial" w:cs="Arial" w:eastAsia="Arial" w:hAnsi="Arial"/>
          <w:color w:val="333333"/>
          <w:sz w:val="22"/>
          <w:szCs w:val="22"/>
        </w:rPr>
        <w:t xml:space="preserve">This is not a crisis. It is a constraint with three clean solutions. The right answer depends on how quickly you want Swiss branding, whether you have a trusted contact in Switzerland, and how much you want to spend before you have revenue.</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854F0B"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FFF8E8" w:val="clear"/>
            <w:tcMar>
              <w:top w:type="dxa" w:w="120"/>
              <w:left w:type="dxa" w:w="200"/>
              <w:bottom w:type="dxa" w:w="120"/>
              <w:right w:type="dxa" w:w="160"/>
            </w:tcMar>
          </w:tcPr>
          <w:p>
            <w:r>
              <w:rPr>
                <w:rFonts w:ascii="Arial" w:cs="Arial" w:eastAsia="Arial" w:hAnsi="Arial"/>
                <w:i/>
                <w:iCs/>
                <w:color w:val="0d0d1a"/>
                <w:sz w:val="22"/>
                <w:szCs w:val="22"/>
              </w:rPr>
              <w:t xml:space="preserve">Do not attempt workarounds. Do not use a fake address. Do not use a nominee service that cannot be verified. Switzerland is a small country with a very well-functioning commercial register. Fraudulent registration is a criminal matter, not a civil one.</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The good news: Wyoming LLC is fully legal, fully functional, fully private, and can be registered today from anywhere in the world for $150. It is the right starting structure and does not prevent a Swiss entity later.</w:t>
            </w:r>
          </w:p>
        </w:tc>
      </w:tr>
    </w:tbl>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The Three Options</w:t>
      </w:r>
    </w:p>
    <w:p>
      <w:pPr>
        <w:pStyle w:val="Heading2"/>
        <w:spacing w:before="320" w:after="80"/>
      </w:pPr>
      <w:r>
        <w:rPr>
          <w:rFonts w:ascii="Arial" w:cs="Arial" w:eastAsia="Arial" w:hAnsi="Arial"/>
          <w:b/>
          <w:bCs/>
          <w:color w:val="1D9E75"/>
          <w:sz w:val="28"/>
          <w:szCs w:val="28"/>
        </w:rPr>
        <w:t xml:space="preserve">Option 1 — Wyoming LLC (Recommended for now)</w:t>
      </w:r>
    </w:p>
    <w:p>
      <w:pPr>
        <w:spacing w:before="60" w:after="100"/>
      </w:pPr>
      <w:r>
        <w:rPr>
          <w:rFonts w:ascii="Arial" w:cs="Arial" w:eastAsia="Arial" w:hAnsi="Arial"/>
          <w:color w:val="333333"/>
          <w:sz w:val="22"/>
          <w:szCs w:val="22"/>
        </w:rPr>
        <w:t xml:space="preserve">A Wyoming LLC is the simplest, fastest, cheapest, and most private legal structure available to a non-domiciled person anywhere in the world. It requires no physical presence, no travel, no minimum capital, and no public disclosure of ownership. It can be registered in 24 hours from your current location.</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DDDDD" w:sz="1"/>
              <w:left w:val="single" w:color="DDDDDD" w:sz="1"/>
              <w:bottom w:val="single" w:color="DDDDDD" w:sz="1"/>
              <w:right w:val="single" w:color="DDDDDD" w:sz="1"/>
            </w:tcBorders>
            <w:shd w:fill="E1F5EE" w:val="clear"/>
            <w:tcMar>
              <w:top w:type="dxa" w:w="140"/>
              <w:left w:type="dxa" w:w="200"/>
              <w:bottom w:type="dxa" w:w="140"/>
              <w:right w:type="dxa" w:w="200"/>
            </w:tcMar>
          </w:tcPr>
          <w:p>
            <w:r>
              <w:rPr>
                <w:rFonts w:ascii="Arial" w:cs="Arial" w:eastAsia="Arial" w:hAnsi="Arial"/>
                <w:b/>
                <w:bCs/>
                <w:color w:val="1D9E75"/>
                <w:sz w:val="28"/>
                <w:szCs w:val="28"/>
              </w:rPr>
              <w:t xml:space="preserve">Wyoming LLC</w:t>
            </w:r>
          </w:p>
          <w:p>
            <w:pPr>
              <w:spacing w:before="40"/>
            </w:pPr>
            <w:r>
              <w:rPr>
                <w:rFonts w:ascii="Arial" w:cs="Arial" w:eastAsia="Arial" w:hAnsi="Arial"/>
                <w:color w:val="666666"/>
                <w:sz w:val="20"/>
                <w:szCs w:val="20"/>
              </w:rPr>
              <w:t xml:space="preserve">US limited liability company — registered remotely, no physical presence required</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160"/>
        <w:gridCol w:w="2160"/>
        <w:gridCol w:w="2520"/>
        <w:gridCol w:w="2520"/>
      </w:tblGrid>
      <w:tr>
        <w:tc>
          <w:tcPr>
            <w:tcW w:type="dxa" w:w="216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Cost</w:t>
            </w:r>
          </w:p>
        </w:tc>
        <w:tc>
          <w:tcPr>
            <w:tcW w:type="dxa" w:w="216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Timeline</w:t>
            </w:r>
          </w:p>
        </w:tc>
        <w:tc>
          <w:tcPr>
            <w:tcW w:type="dxa" w:w="252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Biggest advantage</w:t>
            </w:r>
          </w:p>
        </w:tc>
        <w:tc>
          <w:tcPr>
            <w:tcW w:type="dxa" w:w="252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Biggest risk</w:t>
            </w:r>
          </w:p>
        </w:tc>
      </w:tr>
      <w:tr>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1D9E75"/>
                <w:sz w:val="20"/>
                <w:szCs w:val="20"/>
              </w:rPr>
              <w:t xml:space="preserve">$150–300 setup
$60/year maintenance</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24–48 hours</w:t>
            </w:r>
          </w:p>
        </w:tc>
        <w:tc>
          <w:tcPr>
            <w:tcW w:type="dxa" w:w="2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27500A"/>
                <w:sz w:val="19"/>
                <w:szCs w:val="19"/>
              </w:rPr>
              <w:t xml:space="preserve">• No US residency needed</w:t>
            </w:r>
          </w:p>
          <w:p>
            <w:r>
              <w:rPr>
                <w:rFonts w:ascii="Arial" w:cs="Arial" w:eastAsia="Arial" w:hAnsi="Arial"/>
                <w:color w:val="27500A"/>
                <w:sz w:val="19"/>
                <w:szCs w:val="19"/>
              </w:rPr>
              <w:t xml:space="preserve">• No travel required</w:t>
            </w:r>
          </w:p>
          <w:p>
            <w:r>
              <w:rPr>
                <w:rFonts w:ascii="Arial" w:cs="Arial" w:eastAsia="Arial" w:hAnsi="Arial"/>
                <w:color w:val="27500A"/>
                <w:sz w:val="19"/>
                <w:szCs w:val="19"/>
              </w:rPr>
              <w:t xml:space="preserve">• Ownership not public</w:t>
            </w:r>
          </w:p>
          <w:p>
            <w:r>
              <w:rPr>
                <w:rFonts w:ascii="Arial" w:cs="Arial" w:eastAsia="Arial" w:hAnsi="Arial"/>
                <w:color w:val="27500A"/>
                <w:sz w:val="19"/>
                <w:szCs w:val="19"/>
              </w:rPr>
              <w:t xml:space="preserve">• No state income tax</w:t>
            </w:r>
          </w:p>
          <w:p>
            <w:r>
              <w:rPr>
                <w:rFonts w:ascii="Arial" w:cs="Arial" w:eastAsia="Arial" w:hAnsi="Arial"/>
                <w:color w:val="27500A"/>
                <w:sz w:val="19"/>
                <w:szCs w:val="19"/>
              </w:rPr>
              <w:t xml:space="preserve">• No minimum capital</w:t>
            </w:r>
          </w:p>
          <w:p>
            <w:r>
              <w:rPr>
                <w:rFonts w:ascii="Arial" w:cs="Arial" w:eastAsia="Arial" w:hAnsi="Arial"/>
                <w:color w:val="27500A"/>
                <w:sz w:val="19"/>
                <w:szCs w:val="19"/>
              </w:rPr>
              <w:t xml:space="preserve">• Can open Wise/Mercury remotely</w:t>
            </w:r>
          </w:p>
        </w:tc>
        <w:tc>
          <w:tcPr>
            <w:tcW w:type="dxa" w:w="2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993C1D"/>
                <w:sz w:val="19"/>
                <w:szCs w:val="19"/>
              </w:rPr>
              <w:t xml:space="preserve">• US tax filing required (Form 5472)</w:t>
            </w:r>
          </w:p>
          <w:p>
            <w:r>
              <w:rPr>
                <w:rFonts w:ascii="Arial" w:cs="Arial" w:eastAsia="Arial" w:hAnsi="Arial"/>
                <w:color w:val="993C1D"/>
                <w:sz w:val="19"/>
                <w:szCs w:val="19"/>
              </w:rPr>
              <w:t xml:space="preserve">• Less credibility with Swiss VCs initially</w:t>
            </w:r>
          </w:p>
          <w:p>
            <w:r>
              <w:rPr>
                <w:rFonts w:ascii="Arial" w:cs="Arial" w:eastAsia="Arial" w:hAnsi="Arial"/>
                <w:color w:val="993C1D"/>
                <w:sz w:val="19"/>
                <w:szCs w:val="19"/>
              </w:rPr>
              <w:t xml:space="preserve">• Not 'Swiss' on paper</w:t>
            </w:r>
          </w:p>
        </w:tc>
      </w:tr>
      <w:tr>
        <w:tc>
          <w:tcPr>
            <w:tcW w:type="dxa" w:w="9360"/>
            <w:gridSpan w:val="4"/>
            <w:tcBorders>
              <w:top w:val="single" w:color="DDDDDD" w:sz="1"/>
              <w:left w:val="single" w:color="DDDDDD" w:sz="1"/>
              <w:bottom w:val="single" w:color="DDDDDD" w:sz="1"/>
              <w:right w:val="single" w:color="DDDDDD" w:sz="1"/>
            </w:tcBorders>
            <w:shd w:fill="E1F5EE" w:val="clear"/>
            <w:tcMar>
              <w:top w:type="dxa" w:w="100"/>
              <w:left w:type="dxa" w:w="200"/>
              <w:bottom w:type="dxa" w:w="100"/>
              <w:right w:type="dxa" w:w="200"/>
            </w:tcMar>
          </w:tcPr>
          <w:p>
            <w:r>
              <w:rPr>
                <w:rFonts w:ascii="Arial" w:cs="Arial" w:eastAsia="Arial" w:hAnsi="Arial"/>
                <w:b/>
                <w:bCs/>
                <w:color w:val="1D9E75"/>
                <w:sz w:val="20"/>
                <w:szCs w:val="20"/>
              </w:rPr>
              <w:t xml:space="preserve">Verdict: </w:t>
            </w:r>
            <w:r>
              <w:rPr>
                <w:rFonts w:ascii="Arial" w:cs="Arial" w:eastAsia="Arial" w:hAnsi="Arial"/>
                <w:color w:val="0d0d1a"/>
                <w:sz w:val="20"/>
                <w:szCs w:val="20"/>
              </w:rPr>
              <w:t xml:space="preserve">This is your Phase 0–3 structure. Start here. It is legal, honest, and private. Nothing stops you converting to a Swiss entity later.</w:t>
            </w:r>
          </w:p>
        </w:tc>
      </w:tr>
    </w:tbl>
    <w:p>
      <w:pPr>
        <w:spacing w:before="80" w:after="80"/>
      </w:pPr>
      <w:r>
        <w:t xml:space="preserve"/>
      </w:r>
    </w:p>
    <w:p>
      <w:pPr>
        <w:spacing w:before="200" w:after="60"/>
      </w:pPr>
      <w:r>
        <w:rPr>
          <w:rFonts w:ascii="Arial" w:cs="Arial" w:eastAsia="Arial" w:hAnsi="Arial"/>
          <w:b/>
          <w:bCs/>
          <w:color w:val="1D9E75"/>
          <w:sz w:val="22"/>
          <w:szCs w:val="22"/>
        </w:rPr>
        <w:t xml:space="preserve">Exactly how to register a Wyoming LLC today</w:t>
      </w:r>
    </w:p>
    <w:p>
      <w:pPr>
        <w:pStyle w:val="ListParagraph"/>
        <w:numPr>
          <w:ilvl w:val="0"/>
          <w:numId w:val="2"/>
        </w:numPr>
        <w:spacing w:before="40" w:after="40"/>
      </w:pPr>
      <w:r>
        <w:rPr>
          <w:rFonts w:ascii="Arial" w:cs="Arial" w:eastAsia="Arial" w:hAnsi="Arial"/>
          <w:color w:val="333333"/>
          <w:sz w:val="22"/>
          <w:szCs w:val="22"/>
        </w:rPr>
        <w:t xml:space="preserve">Go to wyomingagents.com or wyofile.com — both are legitimate registered agent services</w:t>
      </w:r>
    </w:p>
    <w:p>
      <w:pPr>
        <w:pStyle w:val="ListParagraph"/>
        <w:numPr>
          <w:ilvl w:val="0"/>
          <w:numId w:val="2"/>
        </w:numPr>
        <w:spacing w:before="40" w:after="40"/>
      </w:pPr>
      <w:r>
        <w:rPr>
          <w:rFonts w:ascii="Arial" w:cs="Arial" w:eastAsia="Arial" w:hAnsi="Arial"/>
          <w:color w:val="333333"/>
          <w:sz w:val="22"/>
          <w:szCs w:val="22"/>
        </w:rPr>
        <w:t xml:space="preserve">Pay $150 including filing fees and first year of registered agent service</w:t>
      </w:r>
    </w:p>
    <w:p>
      <w:pPr>
        <w:pStyle w:val="ListParagraph"/>
        <w:numPr>
          <w:ilvl w:val="0"/>
          <w:numId w:val="2"/>
        </w:numPr>
        <w:spacing w:before="40" w:after="40"/>
      </w:pPr>
      <w:r>
        <w:rPr>
          <w:rFonts w:ascii="Arial" w:cs="Arial" w:eastAsia="Arial" w:hAnsi="Arial"/>
          <w:color w:val="333333"/>
          <w:sz w:val="22"/>
          <w:szCs w:val="22"/>
        </w:rPr>
        <w:t xml:space="preserve">Submit your passport (photo ID) and chosen company name</w:t>
      </w:r>
    </w:p>
    <w:p>
      <w:pPr>
        <w:pStyle w:val="ListParagraph"/>
        <w:numPr>
          <w:ilvl w:val="0"/>
          <w:numId w:val="2"/>
        </w:numPr>
        <w:spacing w:before="40" w:after="40"/>
      </w:pPr>
      <w:r>
        <w:rPr>
          <w:rFonts w:ascii="Arial" w:cs="Arial" w:eastAsia="Arial" w:hAnsi="Arial"/>
          <w:color w:val="333333"/>
          <w:sz w:val="22"/>
          <w:szCs w:val="22"/>
        </w:rPr>
        <w:t xml:space="preserve">Receive your Articles of Organization within 24–48 hours</w:t>
      </w:r>
    </w:p>
    <w:p>
      <w:pPr>
        <w:pStyle w:val="ListParagraph"/>
        <w:numPr>
          <w:ilvl w:val="0"/>
          <w:numId w:val="2"/>
        </w:numPr>
        <w:spacing w:before="40" w:after="40"/>
      </w:pPr>
      <w:r>
        <w:rPr>
          <w:rFonts w:ascii="Arial" w:cs="Arial" w:eastAsia="Arial" w:hAnsi="Arial"/>
          <w:color w:val="333333"/>
          <w:sz w:val="22"/>
          <w:szCs w:val="22"/>
        </w:rPr>
        <w:t xml:space="preserve">Apply for an EIN (tax ID) from the IRS online — free, takes 10 minutes, no SSN required</w:t>
      </w:r>
    </w:p>
    <w:p>
      <w:pPr>
        <w:pStyle w:val="ListParagraph"/>
        <w:numPr>
          <w:ilvl w:val="0"/>
          <w:numId w:val="2"/>
        </w:numPr>
        <w:spacing w:before="40" w:after="40"/>
      </w:pPr>
      <w:r>
        <w:rPr>
          <w:rFonts w:ascii="Arial" w:cs="Arial" w:eastAsia="Arial" w:hAnsi="Arial"/>
          <w:color w:val="333333"/>
          <w:sz w:val="22"/>
          <w:szCs w:val="22"/>
        </w:rPr>
        <w:t xml:space="preserve">Open a Mercury or Wise business account using the EIN and Articles — fully remote</w:t>
      </w:r>
    </w:p>
    <w:p>
      <w:pPr>
        <w:pStyle w:val="ListParagraph"/>
        <w:numPr>
          <w:ilvl w:val="0"/>
          <w:numId w:val="2"/>
        </w:numPr>
        <w:spacing w:before="40" w:after="40"/>
      </w:pPr>
      <w:r>
        <w:rPr>
          <w:rFonts w:ascii="Arial" w:cs="Arial" w:eastAsia="Arial" w:hAnsi="Arial"/>
          <w:color w:val="333333"/>
          <w:sz w:val="22"/>
          <w:szCs w:val="22"/>
        </w:rPr>
        <w:t xml:space="preserve">Your company is live, legal, and can receive payments globally</w:t>
      </w:r>
    </w:p>
    <w:p>
      <w:pPr>
        <w:spacing w:before="80" w:after="80"/>
      </w:pPr>
      <w:r>
        <w:t xml:space="preserve"/>
      </w:r>
    </w:p>
    <w:p>
      <w:pPr>
        <w:spacing w:before="60" w:after="100"/>
      </w:pPr>
      <w:r>
        <w:rPr>
          <w:rFonts w:ascii="Arial" w:cs="Arial" w:eastAsia="Arial" w:hAnsi="Arial"/>
          <w:color w:val="333333"/>
          <w:sz w:val="22"/>
          <w:szCs w:val="22"/>
        </w:rPr>
        <w:t>Company name suggestion: Vela Protocol LLC or Vela Protocol Technologies LLC or Vela Protocol Digital LLC — your choice, check availability at the Wyoming Secretary of State website before filing.</w:t>
      </w:r>
    </w:p>
    <w:p>
      <w:pPr>
        <w:spacing w:before="80" w:after="80"/>
      </w:pPr>
      <w:r>
        <w:t xml:space="preserve"/>
      </w:r>
    </w:p>
    <w:p>
      <w:pPr>
        <w:spacing w:before="200" w:after="60"/>
      </w:pPr>
      <w:r>
        <w:rPr>
          <w:rFonts w:ascii="Arial" w:cs="Arial" w:eastAsia="Arial" w:hAnsi="Arial"/>
          <w:b/>
          <w:bCs/>
          <w:color w:val="1D9E75"/>
          <w:sz w:val="22"/>
          <w:szCs w:val="22"/>
        </w:rPr>
        <w:t xml:space="preserve">Annual obligations</w:t>
      </w:r>
    </w:p>
    <w:p>
      <w:pPr>
        <w:pStyle w:val="ListParagraph"/>
        <w:numPr>
          <w:ilvl w:val="0"/>
          <w:numId w:val="2"/>
        </w:numPr>
        <w:spacing w:before="40" w:after="40"/>
      </w:pPr>
      <w:r>
        <w:rPr>
          <w:rFonts w:ascii="Arial" w:cs="Arial" w:eastAsia="Arial" w:hAnsi="Arial"/>
          <w:color w:val="333333"/>
          <w:sz w:val="22"/>
          <w:szCs w:val="22"/>
        </w:rPr>
        <w:t xml:space="preserve">Annual report filed in the month of your formation anniversary: $60</w:t>
      </w:r>
    </w:p>
    <w:p>
      <w:pPr>
        <w:pStyle w:val="ListParagraph"/>
        <w:numPr>
          <w:ilvl w:val="0"/>
          <w:numId w:val="2"/>
        </w:numPr>
        <w:spacing w:before="40" w:after="40"/>
      </w:pPr>
      <w:r>
        <w:rPr>
          <w:rFonts w:ascii="Arial" w:cs="Arial" w:eastAsia="Arial" w:hAnsi="Arial"/>
          <w:color w:val="333333"/>
          <w:sz w:val="22"/>
          <w:szCs w:val="22"/>
        </w:rPr>
        <w:t xml:space="preserve">IRS Form 5472 + pro forma 1120: file annually, even if zero income. A tax preparer charges $200–400 for this.</w:t>
      </w:r>
    </w:p>
    <w:p>
      <w:pPr>
        <w:pStyle w:val="ListParagraph"/>
        <w:numPr>
          <w:ilvl w:val="0"/>
          <w:numId w:val="2"/>
        </w:numPr>
        <w:spacing w:before="40" w:after="40"/>
      </w:pPr>
      <w:r>
        <w:rPr>
          <w:rFonts w:ascii="Arial" w:cs="Arial" w:eastAsia="Arial" w:hAnsi="Arial"/>
          <w:color w:val="333333"/>
          <w:sz w:val="22"/>
          <w:szCs w:val="22"/>
        </w:rPr>
        <w:t xml:space="preserve">Keep your registered agent active: ~$50–100/year</w:t>
      </w:r>
    </w:p>
    <w:p>
      <w:pPr>
        <w:pStyle w:val="ListParagraph"/>
        <w:numPr>
          <w:ilvl w:val="0"/>
          <w:numId w:val="2"/>
        </w:numPr>
        <w:spacing w:before="40" w:after="40"/>
      </w:pPr>
      <w:r>
        <w:rPr>
          <w:rFonts w:ascii="Arial" w:cs="Arial" w:eastAsia="Arial" w:hAnsi="Arial"/>
          <w:color w:val="333333"/>
          <w:sz w:val="22"/>
          <w:szCs w:val="22"/>
        </w:rPr>
        <w:t xml:space="preserve">Total annual cost: under $500. That is less than one Vela subscription.</w:t>
      </w:r>
    </w:p>
    <w:p>
      <w:pPr>
        <w:pBdr>
          <w:bottom w:val="single" w:color="1D9E75" w:sz="6" w:space="1"/>
        </w:pBdr>
        <w:spacing w:before="160" w:after="160"/>
      </w:pPr>
      <w:r>
        <w:t xml:space="preserve"/>
      </w:r>
    </w:p>
    <w:p>
      <w:r>
        <w:br w:type="page"/>
      </w:r>
    </w:p>
    <w:p>
      <w:pPr>
        <w:pStyle w:val="Heading2"/>
        <w:spacing w:before="320" w:after="80"/>
      </w:pPr>
      <w:r>
        <w:rPr>
          <w:rFonts w:ascii="Arial" w:cs="Arial" w:eastAsia="Arial" w:hAnsi="Arial"/>
          <w:b/>
          <w:bCs/>
          <w:color w:val="534AB7"/>
          <w:sz w:val="28"/>
          <w:szCs w:val="28"/>
        </w:rPr>
        <w:t xml:space="preserve">Option 2 — Swiss GmbH with a Fiduciary / Nominee Director</w:t>
      </w:r>
    </w:p>
    <w:p>
      <w:pPr>
        <w:spacing w:before="60" w:after="100"/>
      </w:pPr>
      <w:r>
        <w:rPr>
          <w:rFonts w:ascii="Arial" w:cs="Arial" w:eastAsia="Arial" w:hAnsi="Arial"/>
          <w:color w:val="333333"/>
          <w:sz w:val="22"/>
          <w:szCs w:val="22"/>
        </w:rPr>
        <w:t xml:space="preserve">This is how non-resident Swiss citizens and foreigners register Swiss companies without being physically domiciled there. A Swiss-resident fiduciary company provides a nominee director who appears on the commercial register, holds signatory authority in the legal sense, but operates entirely under your instructions via a notarized mandate agreement.</w:t>
      </w:r>
    </w:p>
    <w:p>
      <w:pPr>
        <w:spacing w:before="60" w:after="100"/>
      </w:pPr>
      <w:r>
        <w:rPr>
          <w:rFonts w:ascii="Arial" w:cs="Arial" w:eastAsia="Arial" w:hAnsi="Arial"/>
          <w:color w:val="333333"/>
          <w:sz w:val="22"/>
          <w:szCs w:val="22"/>
        </w:rPr>
        <w:t xml:space="preserve">This is legal. It is common. Every major Swiss fiduciary service offers it. The nominee director is contractually bound to act only as you direct and cannot take independent action on company affairs.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DDDDD" w:sz="1"/>
              <w:left w:val="single" w:color="DDDDDD" w:sz="1"/>
              <w:bottom w:val="single" w:color="DDDDDD" w:sz="1"/>
              <w:right w:val="single" w:color="DDDDDD" w:sz="1"/>
            </w:tcBorders>
            <w:shd w:fill="F7F5FF" w:val="clear"/>
            <w:tcMar>
              <w:top w:type="dxa" w:w="140"/>
              <w:left w:type="dxa" w:w="200"/>
              <w:bottom w:type="dxa" w:w="140"/>
              <w:right w:type="dxa" w:w="200"/>
            </w:tcMar>
          </w:tcPr>
          <w:p>
            <w:r>
              <w:rPr>
                <w:rFonts w:ascii="Arial" w:cs="Arial" w:eastAsia="Arial" w:hAnsi="Arial"/>
                <w:b/>
                <w:bCs/>
                <w:color w:val="534AB7"/>
                <w:sz w:val="28"/>
                <w:szCs w:val="28"/>
              </w:rPr>
              <w:t xml:space="preserve">Swiss GmbH with fiduciary nominee director</w:t>
            </w:r>
          </w:p>
          <w:p>
            <w:pPr>
              <w:spacing w:before="40"/>
            </w:pPr>
            <w:r>
              <w:rPr>
                <w:rFonts w:ascii="Arial" w:cs="Arial" w:eastAsia="Arial" w:hAnsi="Arial"/>
                <w:color w:val="666666"/>
                <w:sz w:val="20"/>
                <w:szCs w:val="20"/>
              </w:rPr>
              <w:t xml:space="preserve">Full Swiss entity, commercial register entry, Swiss domicile — without living there</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160"/>
        <w:gridCol w:w="2160"/>
        <w:gridCol w:w="2520"/>
        <w:gridCol w:w="2520"/>
      </w:tblGrid>
      <w:tr>
        <w:tc>
          <w:tcPr>
            <w:tcW w:type="dxa" w:w="216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Cost</w:t>
            </w:r>
          </w:p>
        </w:tc>
        <w:tc>
          <w:tcPr>
            <w:tcW w:type="dxa" w:w="216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Timeline</w:t>
            </w:r>
          </w:p>
        </w:tc>
        <w:tc>
          <w:tcPr>
            <w:tcW w:type="dxa" w:w="252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Biggest advantage</w:t>
            </w:r>
          </w:p>
        </w:tc>
        <w:tc>
          <w:tcPr>
            <w:tcW w:type="dxa" w:w="252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Biggest risk</w:t>
            </w:r>
          </w:p>
        </w:tc>
      </w:tr>
      <w:tr>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1D9E75"/>
                <w:sz w:val="20"/>
                <w:szCs w:val="20"/>
              </w:rPr>
              <w:t xml:space="preserve">CHF 2,000–5,000 setup
CHF 1,500–3,000/year nominee fees
+ CHF 20,000 minimum capital</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3–6 weeks</w:t>
            </w:r>
          </w:p>
        </w:tc>
        <w:tc>
          <w:tcPr>
            <w:tcW w:type="dxa" w:w="2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27500A"/>
                <w:sz w:val="19"/>
                <w:szCs w:val="19"/>
              </w:rPr>
              <w:t xml:space="preserve">• Genuinely Swiss company</w:t>
            </w:r>
          </w:p>
          <w:p>
            <w:r>
              <w:rPr>
                <w:rFonts w:ascii="Arial" w:cs="Arial" w:eastAsia="Arial" w:hAnsi="Arial"/>
                <w:color w:val="27500A"/>
                <w:sz w:val="19"/>
                <w:szCs w:val="19"/>
              </w:rPr>
              <w:t xml:space="preserve">• FONGIT-eligible from day one</w:t>
            </w:r>
          </w:p>
          <w:p>
            <w:r>
              <w:rPr>
                <w:rFonts w:ascii="Arial" w:cs="Arial" w:eastAsia="Arial" w:hAnsi="Arial"/>
                <w:color w:val="27500A"/>
                <w:sz w:val="19"/>
                <w:szCs w:val="19"/>
              </w:rPr>
              <w:t xml:space="preserve">• Proton conversation credibility</w:t>
            </w:r>
          </w:p>
          <w:p>
            <w:r>
              <w:rPr>
                <w:rFonts w:ascii="Arial" w:cs="Arial" w:eastAsia="Arial" w:hAnsi="Arial"/>
                <w:color w:val="27500A"/>
                <w:sz w:val="19"/>
                <w:szCs w:val="19"/>
              </w:rPr>
              <w:t xml:space="preserve">• Swiss banking access</w:t>
            </w:r>
          </w:p>
          <w:p>
            <w:r>
              <w:rPr>
                <w:rFonts w:ascii="Arial" w:cs="Arial" w:eastAsia="Arial" w:hAnsi="Arial"/>
                <w:color w:val="27500A"/>
                <w:sz w:val="19"/>
                <w:szCs w:val="19"/>
              </w:rPr>
              <w:t xml:space="preserve">• Swiss privacy law protection</w:t>
            </w:r>
          </w:p>
        </w:tc>
        <w:tc>
          <w:tcPr>
            <w:tcW w:type="dxa" w:w="2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993C1D"/>
                <w:sz w:val="19"/>
                <w:szCs w:val="19"/>
              </w:rPr>
              <w:t xml:space="preserve">• Expensive before revenue</w:t>
            </w:r>
          </w:p>
          <w:p>
            <w:r>
              <w:rPr>
                <w:rFonts w:ascii="Arial" w:cs="Arial" w:eastAsia="Arial" w:hAnsi="Arial"/>
                <w:color w:val="993C1D"/>
                <w:sz w:val="19"/>
                <w:szCs w:val="19"/>
              </w:rPr>
              <w:t xml:space="preserve">• CHF 20,000 tied up as share capital</w:t>
            </w:r>
          </w:p>
          <w:p>
            <w:r>
              <w:rPr>
                <w:rFonts w:ascii="Arial" w:cs="Arial" w:eastAsia="Arial" w:hAnsi="Arial"/>
                <w:color w:val="993C1D"/>
                <w:sz w:val="19"/>
                <w:szCs w:val="19"/>
              </w:rPr>
              <w:t xml:space="preserve">• Trust required in nominee</w:t>
            </w:r>
          </w:p>
          <w:p>
            <w:r>
              <w:rPr>
                <w:rFonts w:ascii="Arial" w:cs="Arial" w:eastAsia="Arial" w:hAnsi="Arial"/>
                <w:color w:val="993C1D"/>
                <w:sz w:val="19"/>
                <w:szCs w:val="19"/>
              </w:rPr>
              <w:t xml:space="preserve">• Nominee cannot be a stranger</w:t>
            </w:r>
          </w:p>
        </w:tc>
      </w:tr>
      <w:tr>
        <w:tc>
          <w:tcPr>
            <w:tcW w:type="dxa" w:w="9360"/>
            <w:gridSpan w:val="4"/>
            <w:tcBorders>
              <w:top w:val="single" w:color="DDDDDD" w:sz="1"/>
              <w:left w:val="single" w:color="DDDDDD" w:sz="1"/>
              <w:bottom w:val="single" w:color="DDDDDD" w:sz="1"/>
              <w:right w:val="single" w:color="DDDDDD" w:sz="1"/>
            </w:tcBorders>
            <w:shd w:fill="F7F5FF" w:val="clear"/>
            <w:tcMar>
              <w:top w:type="dxa" w:w="100"/>
              <w:left w:type="dxa" w:w="200"/>
              <w:bottom w:type="dxa" w:w="100"/>
              <w:right w:type="dxa" w:w="200"/>
            </w:tcMar>
          </w:tcPr>
          <w:p>
            <w:r>
              <w:rPr>
                <w:rFonts w:ascii="Arial" w:cs="Arial" w:eastAsia="Arial" w:hAnsi="Arial"/>
                <w:b/>
                <w:bCs/>
                <w:color w:val="534AB7"/>
                <w:sz w:val="20"/>
                <w:szCs w:val="20"/>
              </w:rPr>
              <w:t xml:space="preserve">Verdict: </w:t>
            </w:r>
            <w:r>
              <w:rPr>
                <w:rFonts w:ascii="Arial" w:cs="Arial" w:eastAsia="Arial" w:hAnsi="Arial"/>
                <w:color w:val="0d0d1a"/>
                <w:sz w:val="20"/>
                <w:szCs w:val="20"/>
              </w:rPr>
              <w:t xml:space="preserve">This is your Phase 3–5 structure when Vela is generating revenue and Proton conversations are serious. Not before.</w:t>
            </w:r>
          </w:p>
        </w:tc>
      </w:tr>
    </w:tbl>
    <w:p>
      <w:pPr>
        <w:spacing w:before="80" w:after="80"/>
      </w:pPr>
      <w:r>
        <w:t xml:space="preserve"/>
      </w:r>
    </w:p>
    <w:p>
      <w:pPr>
        <w:spacing w:before="200" w:after="60"/>
      </w:pPr>
      <w:r>
        <w:rPr>
          <w:rFonts w:ascii="Arial" w:cs="Arial" w:eastAsia="Arial" w:hAnsi="Arial"/>
          <w:b/>
          <w:bCs/>
          <w:color w:val="1D9E75"/>
          <w:sz w:val="22"/>
          <w:szCs w:val="22"/>
        </w:rPr>
        <w:t xml:space="preserve">How the nominee director structure works</w:t>
      </w:r>
    </w:p>
    <w:p>
      <w:pPr>
        <w:pStyle w:val="ListParagraph"/>
        <w:numPr>
          <w:ilvl w:val="0"/>
          <w:numId w:val="2"/>
        </w:numPr>
        <w:spacing w:before="40" w:after="40"/>
      </w:pPr>
      <w:r>
        <w:rPr>
          <w:rFonts w:ascii="Arial" w:cs="Arial" w:eastAsia="Arial" w:hAnsi="Arial"/>
          <w:color w:val="333333"/>
          <w:sz w:val="22"/>
          <w:szCs w:val="22"/>
        </w:rPr>
        <w:t xml:space="preserve">You engage a Swiss Treuhand (fiduciary) firm — they provide a licensed professional as your nominee director</w:t>
      </w:r>
    </w:p>
    <w:p>
      <w:pPr>
        <w:pStyle w:val="ListParagraph"/>
        <w:numPr>
          <w:ilvl w:val="0"/>
          <w:numId w:val="2"/>
        </w:numPr>
        <w:spacing w:before="40" w:after="40"/>
      </w:pPr>
      <w:r>
        <w:rPr>
          <w:rFonts w:ascii="Arial" w:cs="Arial" w:eastAsia="Arial" w:hAnsi="Arial"/>
          <w:color w:val="333333"/>
          <w:sz w:val="22"/>
          <w:szCs w:val="22"/>
        </w:rPr>
        <w:t xml:space="preserve">A notarized 'fiduciary mandate' agreement is signed: the nominee agrees to act only on your instructions</w:t>
      </w:r>
    </w:p>
    <w:p>
      <w:pPr>
        <w:pStyle w:val="ListParagraph"/>
        <w:numPr>
          <w:ilvl w:val="0"/>
          <w:numId w:val="2"/>
        </w:numPr>
        <w:spacing w:before="40" w:after="40"/>
      </w:pPr>
      <w:r>
        <w:rPr>
          <w:rFonts w:ascii="Arial" w:cs="Arial" w:eastAsia="Arial" w:hAnsi="Arial"/>
          <w:color w:val="333333"/>
          <w:sz w:val="22"/>
          <w:szCs w:val="22"/>
        </w:rPr>
        <w:t xml:space="preserve">The GmbH is registered in the commercial register with the nominee as managing director</w:t>
      </w:r>
    </w:p>
    <w:p>
      <w:pPr>
        <w:pStyle w:val="ListParagraph"/>
        <w:numPr>
          <w:ilvl w:val="0"/>
          <w:numId w:val="2"/>
        </w:numPr>
        <w:spacing w:before="40" w:after="40"/>
      </w:pPr>
      <w:r>
        <w:rPr>
          <w:rFonts w:ascii="Arial" w:cs="Arial" w:eastAsia="Arial" w:hAnsi="Arial"/>
          <w:color w:val="333333"/>
          <w:sz w:val="22"/>
          <w:szCs w:val="22"/>
        </w:rPr>
        <w:t xml:space="preserve">You are listed as the beneficial owner in the separate beneficial ownership registry (not public)</w:t>
      </w:r>
    </w:p>
    <w:p>
      <w:pPr>
        <w:pStyle w:val="ListParagraph"/>
        <w:numPr>
          <w:ilvl w:val="0"/>
          <w:numId w:val="2"/>
        </w:numPr>
        <w:spacing w:before="40" w:after="40"/>
      </w:pPr>
      <w:r>
        <w:rPr>
          <w:rFonts w:ascii="Arial" w:cs="Arial" w:eastAsia="Arial" w:hAnsi="Arial"/>
          <w:color w:val="333333"/>
          <w:sz w:val="22"/>
          <w:szCs w:val="22"/>
        </w:rPr>
        <w:t xml:space="preserve">The fiduciary firm provides a domicile address in their canton — typically Zug (lowest taxes) or Geneva (Proton connection)</w:t>
      </w:r>
    </w:p>
    <w:p>
      <w:pPr>
        <w:pStyle w:val="ListParagraph"/>
        <w:numPr>
          <w:ilvl w:val="0"/>
          <w:numId w:val="2"/>
        </w:numPr>
        <w:spacing w:before="40" w:after="40"/>
      </w:pPr>
      <w:r>
        <w:rPr>
          <w:rFonts w:ascii="Arial" w:cs="Arial" w:eastAsia="Arial" w:hAnsi="Arial"/>
          <w:color w:val="333333"/>
          <w:sz w:val="22"/>
          <w:szCs w:val="22"/>
        </w:rPr>
        <w:t xml:space="preserve">You control all operational decisions. The nominee signs what you instruct, nothing more.</w:t>
      </w:r>
    </w:p>
    <w:p>
      <w:pPr>
        <w:spacing w:before="80" w:after="80"/>
      </w:pPr>
      <w:r>
        <w:t xml:space="preserve"/>
      </w:r>
    </w:p>
    <w:p>
      <w:pPr>
        <w:spacing w:before="200" w:after="60"/>
      </w:pPr>
      <w:r>
        <w:rPr>
          <w:rFonts w:ascii="Arial" w:cs="Arial" w:eastAsia="Arial" w:hAnsi="Arial"/>
          <w:b/>
          <w:bCs/>
          <w:color w:val="1D9E75"/>
          <w:sz w:val="22"/>
          <w:szCs w:val="22"/>
        </w:rPr>
        <w:t xml:space="preserve">Reputable Swiss fiduciary firms for this structure</w:t>
      </w:r>
    </w:p>
    <w:p>
      <w:pPr>
        <w:pStyle w:val="ListParagraph"/>
        <w:numPr>
          <w:ilvl w:val="0"/>
          <w:numId w:val="2"/>
        </w:numPr>
        <w:spacing w:before="40" w:after="40"/>
      </w:pPr>
      <w:r>
        <w:rPr>
          <w:rFonts w:ascii="Arial" w:cs="Arial" w:eastAsia="Arial" w:hAnsi="Arial"/>
          <w:color w:val="333333"/>
          <w:sz w:val="22"/>
          <w:szCs w:val="22"/>
        </w:rPr>
        <w:t xml:space="preserve">Nexova AG (Zurich) — specifically experienced with non-resident Swiss citizen cases</w:t>
      </w:r>
    </w:p>
    <w:p>
      <w:pPr>
        <w:pStyle w:val="ListParagraph"/>
        <w:numPr>
          <w:ilvl w:val="0"/>
          <w:numId w:val="2"/>
        </w:numPr>
        <w:spacing w:before="40" w:after="40"/>
      </w:pPr>
      <w:r>
        <w:rPr>
          <w:rFonts w:ascii="Arial" w:cs="Arial" w:eastAsia="Arial" w:hAnsi="Arial"/>
          <w:color w:val="333333"/>
          <w:sz w:val="22"/>
          <w:szCs w:val="22"/>
        </w:rPr>
        <w:t xml:space="preserve">Treuhand Suisse member firms — certified, regulated, insured</w:t>
      </w:r>
    </w:p>
    <w:p>
      <w:pPr>
        <w:pStyle w:val="ListParagraph"/>
        <w:numPr>
          <w:ilvl w:val="0"/>
          <w:numId w:val="2"/>
        </w:numPr>
        <w:spacing w:before="40" w:after="40"/>
      </w:pPr>
      <w:r>
        <w:rPr>
          <w:rFonts w:ascii="Arial" w:cs="Arial" w:eastAsia="Arial" w:hAnsi="Arial"/>
          <w:color w:val="333333"/>
          <w:sz w:val="22"/>
          <w:szCs w:val="22"/>
        </w:rPr>
        <w:t xml:space="preserve">Wenger &amp; Vieli (Geneva) — good for Proton-adjacent Geneva presence</w:t>
      </w:r>
    </w:p>
    <w:p>
      <w:pPr>
        <w:pStyle w:val="ListParagraph"/>
        <w:numPr>
          <w:ilvl w:val="0"/>
          <w:numId w:val="2"/>
        </w:numPr>
        <w:spacing w:before="40" w:after="40"/>
      </w:pPr>
      <w:r>
        <w:rPr>
          <w:rFonts w:ascii="Arial" w:cs="Arial" w:eastAsia="Arial" w:hAnsi="Arial"/>
          <w:color w:val="333333"/>
          <w:sz w:val="22"/>
          <w:szCs w:val="22"/>
        </w:rPr>
        <w:t xml:space="preserve">Expect to pay CHF 2,000–3,000 for setup plus CHF 1,500–2,500/year for ongoing nominee services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854F0B"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FFF8E8" w:val="clear"/>
            <w:tcMar>
              <w:top w:type="dxa" w:w="120"/>
              <w:left w:type="dxa" w:w="200"/>
              <w:bottom w:type="dxa" w:w="120"/>
              <w:right w:type="dxa" w:w="160"/>
            </w:tcMar>
          </w:tcPr>
          <w:p>
            <w:r>
              <w:rPr>
                <w:rFonts w:ascii="Arial" w:cs="Arial" w:eastAsia="Arial" w:hAnsi="Arial"/>
                <w:i/>
                <w:iCs/>
                <w:color w:val="0d0d1a"/>
                <w:sz w:val="22"/>
                <w:szCs w:val="22"/>
              </w:rPr>
              <w:t xml:space="preserve">Do not use an unverified online nominee service. The nominee director holds legal signatory authority for your company. This person must be a regulated Swiss professional with professional liability insurance and a clear mandate agreement drafted by a Swiss notary.</w:t>
            </w:r>
          </w:p>
        </w:tc>
      </w:tr>
    </w:tbl>
    <w:p>
      <w:pPr>
        <w:pBdr>
          <w:bottom w:val="single" w:color="534AB7" w:sz="6" w:space="1"/>
        </w:pBdr>
        <w:spacing w:before="160" w:after="160"/>
      </w:pPr>
      <w:r>
        <w:t xml:space="preserve"/>
      </w:r>
    </w:p>
    <w:p>
      <w:r>
        <w:br w:type="page"/>
      </w:r>
    </w:p>
    <w:p>
      <w:pPr>
        <w:pStyle w:val="Heading2"/>
        <w:spacing w:before="320" w:after="80"/>
      </w:pPr>
      <w:r>
        <w:rPr>
          <w:rFonts w:ascii="Arial" w:cs="Arial" w:eastAsia="Arial" w:hAnsi="Arial"/>
          <w:b/>
          <w:bCs/>
          <w:color w:val="185FA5"/>
          <w:sz w:val="28"/>
          <w:szCs w:val="28"/>
        </w:rPr>
        <w:t xml:space="preserve">Option 3 — Swiss GmbH with a Trusted Personal Contact</w:t>
      </w:r>
    </w:p>
    <w:p>
      <w:pPr>
        <w:spacing w:before="60" w:after="100"/>
      </w:pPr>
      <w:r>
        <w:rPr>
          <w:rFonts w:ascii="Arial" w:cs="Arial" w:eastAsia="Arial" w:hAnsi="Arial"/>
          <w:color w:val="333333"/>
          <w:sz w:val="22"/>
          <w:szCs w:val="22"/>
        </w:rPr>
        <w:t xml:space="preserve">If you have a trusted friend, family member, or professional contact who is resident in Switzerland and willing to serve as your managing director, this is the cleanest and cheapest Swiss structure available. They appear on the register. They have signatory authority. But a shareholder agreement and a private mandate document ensure you retain all control and ownership.</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DDDDD" w:sz="1"/>
              <w:left w:val="single" w:color="DDDDDD" w:sz="1"/>
              <w:bottom w:val="single" w:color="DDDDDD" w:sz="1"/>
              <w:right w:val="single" w:color="DDDDDD" w:sz="1"/>
            </w:tcBorders>
            <w:shd w:fill="E6F1FB" w:val="clear"/>
            <w:tcMar>
              <w:top w:type="dxa" w:w="140"/>
              <w:left w:type="dxa" w:w="200"/>
              <w:bottom w:type="dxa" w:w="140"/>
              <w:right w:type="dxa" w:w="200"/>
            </w:tcMar>
          </w:tcPr>
          <w:p>
            <w:r>
              <w:rPr>
                <w:rFonts w:ascii="Arial" w:cs="Arial" w:eastAsia="Arial" w:hAnsi="Arial"/>
                <w:b/>
                <w:bCs/>
                <w:color w:val="185FA5"/>
                <w:sz w:val="28"/>
                <w:szCs w:val="28"/>
              </w:rPr>
              <w:t xml:space="preserve">Swiss GmbH with trusted Swiss-resident director</w:t>
            </w:r>
          </w:p>
          <w:p>
            <w:pPr>
              <w:spacing w:before="40"/>
            </w:pPr>
            <w:r>
              <w:rPr>
                <w:rFonts w:ascii="Arial" w:cs="Arial" w:eastAsia="Arial" w:hAnsi="Arial"/>
                <w:color w:val="666666"/>
                <w:sz w:val="20"/>
                <w:szCs w:val="20"/>
              </w:rPr>
              <w:t xml:space="preserve">Full Swiss company, director is someone you know and trust personally</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160"/>
        <w:gridCol w:w="2160"/>
        <w:gridCol w:w="2520"/>
        <w:gridCol w:w="2520"/>
      </w:tblGrid>
      <w:tr>
        <w:tc>
          <w:tcPr>
            <w:tcW w:type="dxa" w:w="216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Cost</w:t>
            </w:r>
          </w:p>
        </w:tc>
        <w:tc>
          <w:tcPr>
            <w:tcW w:type="dxa" w:w="216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Timeline</w:t>
            </w:r>
          </w:p>
        </w:tc>
        <w:tc>
          <w:tcPr>
            <w:tcW w:type="dxa" w:w="252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Biggest advantage</w:t>
            </w:r>
          </w:p>
        </w:tc>
        <w:tc>
          <w:tcPr>
            <w:tcW w:type="dxa" w:w="2520"/>
            <w:tcBorders>
              <w:top w:val="single" w:color="DDDDDD" w:sz="1"/>
              <w:left w:val="single" w:color="DDDDDD" w:sz="1"/>
              <w:bottom w:val="single" w:color="DDDDDD" w:sz="1"/>
              <w:right w:val="single" w:color="DDDDDD" w:sz="1"/>
            </w:tcBorders>
            <w:shd w:fill="0d0d1a" w:val="clear"/>
            <w:tcMar>
              <w:top w:type="dxa" w:w="60"/>
              <w:left w:type="dxa" w:w="120"/>
              <w:bottom w:type="dxa" w:w="60"/>
              <w:right w:type="dxa" w:w="120"/>
            </w:tcMar>
          </w:tcPr>
          <w:p>
            <w:r>
              <w:rPr>
                <w:rFonts w:ascii="Arial" w:cs="Arial" w:eastAsia="Arial" w:hAnsi="Arial"/>
                <w:b/>
                <w:bCs/>
                <w:color w:val="FFFFFF"/>
                <w:sz w:val="18"/>
                <w:szCs w:val="18"/>
              </w:rPr>
              <w:t xml:space="preserve">Biggest risk</w:t>
            </w:r>
          </w:p>
        </w:tc>
      </w:tr>
      <w:tr>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1D9E75"/>
                <w:sz w:val="20"/>
                <w:szCs w:val="20"/>
              </w:rPr>
              <w:t xml:space="preserve">CHF 1,500–2,500 legal fees
+ CHF 20,000 share capital
(your money, held in company)</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3–4 weeks</w:t>
            </w:r>
          </w:p>
        </w:tc>
        <w:tc>
          <w:tcPr>
            <w:tcW w:type="dxa" w:w="2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27500A"/>
                <w:sz w:val="19"/>
                <w:szCs w:val="19"/>
              </w:rPr>
              <w:t xml:space="preserve">• Cheapest Swiss route</w:t>
            </w:r>
          </w:p>
          <w:p>
            <w:r>
              <w:rPr>
                <w:rFonts w:ascii="Arial" w:cs="Arial" w:eastAsia="Arial" w:hAnsi="Arial"/>
                <w:color w:val="27500A"/>
                <w:sz w:val="19"/>
                <w:szCs w:val="19"/>
              </w:rPr>
              <w:t xml:space="preserve">• No ongoing nominee fees</w:t>
            </w:r>
          </w:p>
          <w:p>
            <w:r>
              <w:rPr>
                <w:rFonts w:ascii="Arial" w:cs="Arial" w:eastAsia="Arial" w:hAnsi="Arial"/>
                <w:color w:val="27500A"/>
                <w:sz w:val="19"/>
                <w:szCs w:val="19"/>
              </w:rPr>
              <w:t xml:space="preserve">• Most trusted structure</w:t>
            </w:r>
          </w:p>
          <w:p>
            <w:r>
              <w:rPr>
                <w:rFonts w:ascii="Arial" w:cs="Arial" w:eastAsia="Arial" w:hAnsi="Arial"/>
                <w:color w:val="27500A"/>
                <w:sz w:val="19"/>
                <w:szCs w:val="19"/>
              </w:rPr>
              <w:t xml:space="preserve">• Full Swiss credibility</w:t>
            </w:r>
          </w:p>
          <w:p>
            <w:r>
              <w:rPr>
                <w:rFonts w:ascii="Arial" w:cs="Arial" w:eastAsia="Arial" w:hAnsi="Arial"/>
                <w:color w:val="27500A"/>
                <w:sz w:val="19"/>
                <w:szCs w:val="19"/>
              </w:rPr>
              <w:t xml:space="preserve">• FONGIT eligible immediately</w:t>
            </w:r>
          </w:p>
        </w:tc>
        <w:tc>
          <w:tcPr>
            <w:tcW w:type="dxa" w:w="2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993C1D"/>
                <w:sz w:val="19"/>
                <w:szCs w:val="19"/>
              </w:rPr>
              <w:t xml:space="preserve">• Requires trusting one person with legal authority</w:t>
            </w:r>
          </w:p>
          <w:p>
            <w:r>
              <w:rPr>
                <w:rFonts w:ascii="Arial" w:cs="Arial" w:eastAsia="Arial" w:hAnsi="Arial"/>
                <w:color w:val="993C1D"/>
                <w:sz w:val="19"/>
                <w:szCs w:val="19"/>
              </w:rPr>
              <w:t xml:space="preserve">• If relationship breaks down, complexity increases</w:t>
            </w:r>
          </w:p>
          <w:p>
            <w:r>
              <w:rPr>
                <w:rFonts w:ascii="Arial" w:cs="Arial" w:eastAsia="Arial" w:hAnsi="Arial"/>
                <w:color w:val="993C1D"/>
                <w:sz w:val="19"/>
                <w:szCs w:val="19"/>
              </w:rPr>
              <w:t xml:space="preserve">• That person has real legal exposure</w:t>
            </w:r>
          </w:p>
        </w:tc>
      </w:tr>
      <w:tr>
        <w:tc>
          <w:tcPr>
            <w:tcW w:type="dxa" w:w="9360"/>
            <w:gridSpan w:val="4"/>
            <w:tcBorders>
              <w:top w:val="single" w:color="DDDDDD" w:sz="1"/>
              <w:left w:val="single" w:color="DDDDDD" w:sz="1"/>
              <w:bottom w:val="single" w:color="DDDDDD" w:sz="1"/>
              <w:right w:val="single" w:color="DDDDDD" w:sz="1"/>
            </w:tcBorders>
            <w:shd w:fill="E6F1FB" w:val="clear"/>
            <w:tcMar>
              <w:top w:type="dxa" w:w="100"/>
              <w:left w:type="dxa" w:w="200"/>
              <w:bottom w:type="dxa" w:w="100"/>
              <w:right w:type="dxa" w:w="200"/>
            </w:tcMar>
          </w:tcPr>
          <w:p>
            <w:r>
              <w:rPr>
                <w:rFonts w:ascii="Arial" w:cs="Arial" w:eastAsia="Arial" w:hAnsi="Arial"/>
                <w:b/>
                <w:bCs/>
                <w:color w:val="185FA5"/>
                <w:sz w:val="20"/>
                <w:szCs w:val="20"/>
              </w:rPr>
              <w:t xml:space="preserve">Verdict: </w:t>
            </w:r>
            <w:r>
              <w:rPr>
                <w:rFonts w:ascii="Arial" w:cs="Arial" w:eastAsia="Arial" w:hAnsi="Arial"/>
                <w:color w:val="0d0d1a"/>
                <w:sz w:val="20"/>
                <w:szCs w:val="20"/>
              </w:rPr>
              <w:t xml:space="preserve">Best option IF you have the right trusted contact in Switzerland. Do not force this with someone you do not fully trust.</w:t>
            </w:r>
          </w:p>
        </w:tc>
      </w:tr>
    </w:tbl>
    <w:p>
      <w:pPr>
        <w:spacing w:before="80" w:after="80"/>
      </w:pPr>
      <w:r>
        <w:t xml:space="preserve"/>
      </w:r>
    </w:p>
    <w:p>
      <w:pPr>
        <w:spacing w:before="200" w:after="60"/>
      </w:pPr>
      <w:r>
        <w:rPr>
          <w:rFonts w:ascii="Arial" w:cs="Arial" w:eastAsia="Arial" w:hAnsi="Arial"/>
          <w:b/>
          <w:bCs/>
          <w:color w:val="1D9E75"/>
          <w:sz w:val="22"/>
          <w:szCs w:val="22"/>
        </w:rPr>
        <w:t xml:space="preserve">Who can serve as this director</w:t>
      </w:r>
    </w:p>
    <w:p>
      <w:pPr>
        <w:pStyle w:val="ListParagraph"/>
        <w:numPr>
          <w:ilvl w:val="0"/>
          <w:numId w:val="2"/>
        </w:numPr>
        <w:spacing w:before="40" w:after="40"/>
      </w:pPr>
      <w:r>
        <w:rPr>
          <w:rFonts w:ascii="Arial" w:cs="Arial" w:eastAsia="Arial" w:hAnsi="Arial"/>
          <w:color w:val="333333"/>
          <w:sz w:val="22"/>
          <w:szCs w:val="22"/>
        </w:rPr>
        <w:t xml:space="preserve">A family member resident in Switzerland who understands and supports the project</w:t>
      </w:r>
    </w:p>
    <w:p>
      <w:pPr>
        <w:pStyle w:val="ListParagraph"/>
        <w:numPr>
          <w:ilvl w:val="0"/>
          <w:numId w:val="2"/>
        </w:numPr>
        <w:spacing w:before="40" w:after="40"/>
      </w:pPr>
      <w:r>
        <w:rPr>
          <w:rFonts w:ascii="Arial" w:cs="Arial" w:eastAsia="Arial" w:hAnsi="Arial"/>
          <w:color w:val="333333"/>
          <w:sz w:val="22"/>
          <w:szCs w:val="22"/>
        </w:rPr>
        <w:t xml:space="preserve">A trusted professional contact — a Swiss lawyer, accountant, or business associate</w:t>
      </w:r>
    </w:p>
    <w:p>
      <w:pPr>
        <w:pStyle w:val="ListParagraph"/>
        <w:numPr>
          <w:ilvl w:val="0"/>
          <w:numId w:val="2"/>
        </w:numPr>
        <w:spacing w:before="40" w:after="40"/>
      </w:pPr>
      <w:r>
        <w:rPr>
          <w:rFonts w:ascii="Arial" w:cs="Arial" w:eastAsia="Arial" w:hAnsi="Arial"/>
          <w:color w:val="333333"/>
          <w:sz w:val="22"/>
          <w:szCs w:val="22"/>
        </w:rPr>
        <w:t xml:space="preserve">A former colleague who is resident in Switzerland and respects what you are building</w:t>
      </w:r>
    </w:p>
    <w:p>
      <w:pPr>
        <w:pStyle w:val="ListParagraph"/>
        <w:numPr>
          <w:ilvl w:val="0"/>
          <w:numId w:val="2"/>
        </w:numPr>
        <w:spacing w:before="40" w:after="40"/>
      </w:pPr>
      <w:r>
        <w:rPr>
          <w:rFonts w:ascii="Arial" w:cs="Arial" w:eastAsia="Arial" w:hAnsi="Arial"/>
          <w:color w:val="333333"/>
          <w:sz w:val="22"/>
          <w:szCs w:val="22"/>
        </w:rPr>
        <w:t xml:space="preserve">The key requirement: they must be physically resident in Switzerland, not just Swiss citizens living abroad</w:t>
      </w:r>
    </w:p>
    <w:p>
      <w:pPr>
        <w:spacing w:before="80" w:after="80"/>
      </w:pPr>
      <w:r>
        <w:t xml:space="preserve"/>
      </w:r>
    </w:p>
    <w:p>
      <w:pPr>
        <w:spacing w:before="200" w:after="60"/>
      </w:pPr>
      <w:r>
        <w:rPr>
          <w:rFonts w:ascii="Arial" w:cs="Arial" w:eastAsia="Arial" w:hAnsi="Arial"/>
          <w:b/>
          <w:bCs/>
          <w:color w:val="1D9E75"/>
          <w:sz w:val="22"/>
          <w:szCs w:val="22"/>
        </w:rPr>
        <w:t xml:space="preserve">Legal protections for both parties</w:t>
      </w:r>
    </w:p>
    <w:p>
      <w:pPr>
        <w:pStyle w:val="ListParagraph"/>
        <w:numPr>
          <w:ilvl w:val="0"/>
          <w:numId w:val="2"/>
        </w:numPr>
        <w:spacing w:before="40" w:after="40"/>
      </w:pPr>
      <w:r>
        <w:rPr>
          <w:rFonts w:ascii="Arial" w:cs="Arial" w:eastAsia="Arial" w:hAnsi="Arial"/>
          <w:color w:val="333333"/>
          <w:sz w:val="22"/>
          <w:szCs w:val="22"/>
        </w:rPr>
        <w:t xml:space="preserve">A shareholder agreement confirms you own 100% of the shares</w:t>
      </w:r>
    </w:p>
    <w:p>
      <w:pPr>
        <w:pStyle w:val="ListParagraph"/>
        <w:numPr>
          <w:ilvl w:val="0"/>
          <w:numId w:val="2"/>
        </w:numPr>
        <w:spacing w:before="40" w:after="40"/>
      </w:pPr>
      <w:r>
        <w:rPr>
          <w:rFonts w:ascii="Arial" w:cs="Arial" w:eastAsia="Arial" w:hAnsi="Arial"/>
          <w:color w:val="333333"/>
          <w:sz w:val="22"/>
          <w:szCs w:val="22"/>
        </w:rPr>
        <w:t xml:space="preserve">A director mandate agreement specifies they act only on your instructions</w:t>
      </w:r>
    </w:p>
    <w:p>
      <w:pPr>
        <w:pStyle w:val="ListParagraph"/>
        <w:numPr>
          <w:ilvl w:val="0"/>
          <w:numId w:val="2"/>
        </w:numPr>
        <w:spacing w:before="40" w:after="40"/>
      </w:pPr>
      <w:r>
        <w:rPr>
          <w:rFonts w:ascii="Arial" w:cs="Arial" w:eastAsia="Arial" w:hAnsi="Arial"/>
          <w:color w:val="333333"/>
          <w:sz w:val="22"/>
          <w:szCs w:val="22"/>
        </w:rPr>
        <w:t xml:space="preserve">A resignation letter signed in advance and held in escrow protects you if the relationship changes</w:t>
      </w:r>
    </w:p>
    <w:p>
      <w:pPr>
        <w:pStyle w:val="ListParagraph"/>
        <w:numPr>
          <w:ilvl w:val="0"/>
          <w:numId w:val="2"/>
        </w:numPr>
        <w:spacing w:before="40" w:after="40"/>
      </w:pPr>
      <w:r>
        <w:rPr>
          <w:rFonts w:ascii="Arial" w:cs="Arial" w:eastAsia="Arial" w:hAnsi="Arial"/>
          <w:color w:val="333333"/>
          <w:sz w:val="22"/>
          <w:szCs w:val="22"/>
        </w:rPr>
        <w:t xml:space="preserve">All of this drafted by a Swiss notary — budget CHF 1,500–2,000 for the legal documents</w:t>
      </w:r>
    </w:p>
    <w:p>
      <w:pPr>
        <w:pBdr>
          <w:bottom w:val="single" w:color="185FA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The Recommended Path — Two Phases</w:t>
      </w:r>
    </w:p>
    <w:p>
      <w:pPr>
        <w:spacing w:before="60" w:after="100"/>
      </w:pPr>
      <w:r>
        <w:rPr>
          <w:rFonts w:ascii="Arial" w:cs="Arial" w:eastAsia="Arial" w:hAnsi="Arial"/>
          <w:color w:val="333333"/>
          <w:sz w:val="22"/>
          <w:szCs w:val="22"/>
        </w:rPr>
        <w:t xml:space="preserve">Given your situation, the right answer is a two-phase legal strategy. Phase A now, Phase B when you have revenue and a Proton conversation to support.</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400"/>
        <w:gridCol w:w="3120"/>
        <w:gridCol w:w="3120"/>
      </w:tblGrid>
      <w:tr>
        <w:tc>
          <w:tcPr>
            <w:tcW w:type="dxa" w:w="72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Phase</w:t>
            </w:r>
          </w:p>
        </w:tc>
        <w:tc>
          <w:tcPr>
            <w:tcW w:type="dxa" w:w="240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Structure</w:t>
            </w:r>
          </w:p>
        </w:tc>
        <w:tc>
          <w:tcPr>
            <w:tcW w:type="dxa" w:w="312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When</w:t>
            </w:r>
          </w:p>
        </w:tc>
        <w:tc>
          <w:tcPr>
            <w:tcW w:type="dxa" w:w="312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Why</w:t>
            </w:r>
          </w:p>
        </w:tc>
      </w:tr>
      <w:tr>
        <w:tc>
          <w:tcPr>
            <w:tcW w:type="dxa" w:w="720"/>
            <w:tcBorders>
              <w:top w:val="single" w:color="DDDDDD" w:sz="1"/>
              <w:left w:val="single" w:color="DDDDDD" w:sz="1"/>
              <w:bottom w:val="single" w:color="DDDDDD" w:sz="1"/>
              <w:right w:val="single" w:color="DDDDDD" w:sz="1"/>
            </w:tcBorders>
            <w:shd w:fill="E1F5EE" w:val="clear"/>
            <w:tcMar>
              <w:top w:type="dxa" w:w="100"/>
              <w:left w:type="dxa" w:w="120"/>
              <w:bottom w:type="dxa" w:w="100"/>
              <w:right w:type="dxa" w:w="120"/>
            </w:tcMar>
          </w:tcPr>
          <w:p>
            <w:pPr>
              <w:jc w:val="center"/>
            </w:pPr>
            <w:r>
              <w:rPr>
                <w:rFonts w:ascii="Arial" w:cs="Arial" w:eastAsia="Arial" w:hAnsi="Arial"/>
                <w:b/>
                <w:bCs/>
                <w:color w:val="1D9E75"/>
                <w:sz w:val="28"/>
                <w:szCs w:val="28"/>
              </w:rPr>
              <w:t xml:space="preserve">A</w:t>
            </w:r>
          </w:p>
        </w:tc>
        <w:tc>
          <w:tcPr>
            <w:tcW w:type="dxa" w:w="2400"/>
            <w:tcBorders>
              <w:top w:val="single" w:color="DDDDDD" w:sz="1"/>
              <w:left w:val="single" w:color="DDDDDD" w:sz="1"/>
              <w:bottom w:val="single" w:color="DDDDDD" w:sz="1"/>
              <w:right w:val="single" w:color="DDDDDD" w:sz="1"/>
            </w:tcBorders>
            <w:shd w:fill="E1F5EE" w:val="clear"/>
            <w:tcMar>
              <w:top w:type="dxa" w:w="100"/>
              <w:left w:type="dxa" w:w="120"/>
              <w:bottom w:type="dxa" w:w="100"/>
              <w:right w:type="dxa" w:w="120"/>
            </w:tcMar>
          </w:tcPr>
          <w:p>
            <w:r>
              <w:rPr>
                <w:rFonts w:ascii="Arial" w:cs="Arial" w:eastAsia="Arial" w:hAnsi="Arial"/>
                <w:b/>
                <w:bCs/>
                <w:color w:val="1D9E75"/>
                <w:sz w:val="22"/>
                <w:szCs w:val="22"/>
              </w:rPr>
              <w:t xml:space="preserve">Wyoming LLC</w:t>
            </w:r>
          </w:p>
        </w:tc>
        <w:tc>
          <w:tcPr>
            <w:tcW w:type="dxa" w:w="3120"/>
            <w:tcBorders>
              <w:top w:val="single" w:color="DDDDDD" w:sz="1"/>
              <w:left w:val="single" w:color="DDDDDD" w:sz="1"/>
              <w:bottom w:val="single" w:color="DDDDDD" w:sz="1"/>
              <w:right w:val="single" w:color="DDDDDD" w:sz="1"/>
            </w:tcBorders>
            <w:shd w:fill="E1F5EE" w:val="clear"/>
            <w:tcMar>
              <w:top w:type="dxa" w:w="100"/>
              <w:left w:type="dxa" w:w="120"/>
              <w:bottom w:type="dxa" w:w="100"/>
              <w:right w:type="dxa" w:w="120"/>
            </w:tcMar>
          </w:tcPr>
          <w:p>
            <w:r>
              <w:rPr>
                <w:rFonts w:ascii="Arial" w:cs="Arial" w:eastAsia="Arial" w:hAnsi="Arial"/>
                <w:color w:val="333333"/>
                <w:sz w:val="20"/>
                <w:szCs w:val="20"/>
              </w:rPr>
              <w:t xml:space="preserve">Right now. This week. Before you build anything.</w:t>
            </w:r>
          </w:p>
        </w:tc>
        <w:tc>
          <w:tcPr>
            <w:tcW w:type="dxa" w:w="3120"/>
            <w:tcBorders>
              <w:top w:val="single" w:color="DDDDDD" w:sz="1"/>
              <w:left w:val="single" w:color="DDDDDD" w:sz="1"/>
              <w:bottom w:val="single" w:color="DDDDDD" w:sz="1"/>
              <w:right w:val="single" w:color="DDDDDD" w:sz="1"/>
            </w:tcBorders>
            <w:shd w:fill="E1F5EE" w:val="clear"/>
            <w:tcMar>
              <w:top w:type="dxa" w:w="100"/>
              <w:left w:type="dxa" w:w="120"/>
              <w:bottom w:type="dxa" w:w="100"/>
              <w:right w:type="dxa" w:w="120"/>
            </w:tcMar>
          </w:tcPr>
          <w:p>
            <w:r>
              <w:rPr>
                <w:rFonts w:ascii="Arial" w:cs="Arial" w:eastAsia="Arial" w:hAnsi="Arial"/>
                <w:color w:val="333333"/>
                <w:sz w:val="20"/>
                <w:szCs w:val="20"/>
              </w:rPr>
              <w:t xml:space="preserve">Costs $150. Legal in 24 hours. Protects you personally. Allows you to receive money. No Swiss presence needed.</w:t>
            </w:r>
          </w:p>
        </w:tc>
      </w:tr>
      <w:tr>
        <w:tc>
          <w:tcPr>
            <w:tcW w:type="dxa" w:w="720"/>
            <w:tcBorders>
              <w:top w:val="single" w:color="DDDDDD" w:sz="1"/>
              <w:left w:val="single" w:color="DDDDDD" w:sz="1"/>
              <w:bottom w:val="single" w:color="DDDDDD" w:sz="1"/>
              <w:right w:val="single" w:color="DDDDDD" w:sz="1"/>
            </w:tcBorders>
            <w:shd w:fill="F7F5FF" w:val="clear"/>
            <w:tcMar>
              <w:top w:type="dxa" w:w="100"/>
              <w:left w:type="dxa" w:w="120"/>
              <w:bottom w:type="dxa" w:w="100"/>
              <w:right w:type="dxa" w:w="120"/>
            </w:tcMar>
          </w:tcPr>
          <w:p>
            <w:pPr>
              <w:jc w:val="center"/>
            </w:pPr>
            <w:r>
              <w:rPr>
                <w:rFonts w:ascii="Arial" w:cs="Arial" w:eastAsia="Arial" w:hAnsi="Arial"/>
                <w:b/>
                <w:bCs/>
                <w:color w:val="534AB7"/>
                <w:sz w:val="28"/>
                <w:szCs w:val="28"/>
              </w:rPr>
              <w:t xml:space="preserve">B</w:t>
            </w:r>
          </w:p>
        </w:tc>
        <w:tc>
          <w:tcPr>
            <w:tcW w:type="dxa" w:w="2400"/>
            <w:tcBorders>
              <w:top w:val="single" w:color="DDDDDD" w:sz="1"/>
              <w:left w:val="single" w:color="DDDDDD" w:sz="1"/>
              <w:bottom w:val="single" w:color="DDDDDD" w:sz="1"/>
              <w:right w:val="single" w:color="DDDDDD" w:sz="1"/>
            </w:tcBorders>
            <w:shd w:fill="F7F5FF" w:val="clear"/>
            <w:tcMar>
              <w:top w:type="dxa" w:w="100"/>
              <w:left w:type="dxa" w:w="120"/>
              <w:bottom w:type="dxa" w:w="100"/>
              <w:right w:type="dxa" w:w="120"/>
            </w:tcMar>
          </w:tcPr>
          <w:p>
            <w:r>
              <w:rPr>
                <w:rFonts w:ascii="Arial" w:cs="Arial" w:eastAsia="Arial" w:hAnsi="Arial"/>
                <w:b/>
                <w:bCs/>
                <w:color w:val="534AB7"/>
                <w:sz w:val="22"/>
                <w:szCs w:val="22"/>
              </w:rPr>
              <w:t xml:space="preserve">Swiss GmbH</w:t>
            </w:r>
          </w:p>
        </w:tc>
        <w:tc>
          <w:tcPr>
            <w:tcW w:type="dxa" w:w="3120"/>
            <w:tcBorders>
              <w:top w:val="single" w:color="DDDDDD" w:sz="1"/>
              <w:left w:val="single" w:color="DDDDDD" w:sz="1"/>
              <w:bottom w:val="single" w:color="DDDDDD" w:sz="1"/>
              <w:right w:val="single" w:color="DDDDDD" w:sz="1"/>
            </w:tcBorders>
            <w:shd w:fill="F7F5FF" w:val="clear"/>
            <w:tcMar>
              <w:top w:type="dxa" w:w="100"/>
              <w:left w:type="dxa" w:w="120"/>
              <w:bottom w:type="dxa" w:w="100"/>
              <w:right w:type="dxa" w:w="120"/>
            </w:tcMar>
          </w:tcPr>
          <w:p>
            <w:r>
              <w:rPr>
                <w:rFonts w:ascii="Arial" w:cs="Arial" w:eastAsia="Arial" w:hAnsi="Arial"/>
                <w:color w:val="333333"/>
                <w:sz w:val="20"/>
                <w:szCs w:val="20"/>
              </w:rPr>
              <w:t xml:space="preserve">Month 3–5 when Vela has revenue and Proton conversation is real.</w:t>
            </w:r>
          </w:p>
        </w:tc>
        <w:tc>
          <w:tcPr>
            <w:tcW w:type="dxa" w:w="3120"/>
            <w:tcBorders>
              <w:top w:val="single" w:color="DDDDDD" w:sz="1"/>
              <w:left w:val="single" w:color="DDDDDD" w:sz="1"/>
              <w:bottom w:val="single" w:color="DDDDDD" w:sz="1"/>
              <w:right w:val="single" w:color="DDDDDD" w:sz="1"/>
            </w:tcBorders>
            <w:shd w:fill="F7F5FF" w:val="clear"/>
            <w:tcMar>
              <w:top w:type="dxa" w:w="100"/>
              <w:left w:type="dxa" w:w="120"/>
              <w:bottom w:type="dxa" w:w="100"/>
              <w:right w:type="dxa" w:w="120"/>
            </w:tcMar>
          </w:tcPr>
          <w:p>
            <w:r>
              <w:rPr>
                <w:rFonts w:ascii="Arial" w:cs="Arial" w:eastAsia="Arial" w:hAnsi="Arial"/>
                <w:color w:val="333333"/>
                <w:sz w:val="20"/>
                <w:szCs w:val="20"/>
              </w:rPr>
              <w:t xml:space="preserve">Via fiduciary nominee or trusted contact. Costs CHF 3,000–6,000 plus CHF 20,000 share capital. Worth it when revenue justifies it.</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The Wyoming LLC does not damage your Swiss story. You tell the truth: you are Swiss, you are building toward a Swiss legal home, and you are operating through a US holding company during the bootstrap phase. That is completely normal and completely honest. Proton itself operated under various structures during its early years.</w:t>
            </w:r>
          </w:p>
        </w:tc>
      </w:tr>
    </w:tbl>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Banking Without a Swiss Domicile</w:t>
      </w:r>
    </w:p>
    <w:p>
      <w:pPr>
        <w:spacing w:before="60" w:after="100"/>
      </w:pPr>
      <w:r>
        <w:rPr>
          <w:rFonts w:ascii="Arial" w:cs="Arial" w:eastAsia="Arial" w:hAnsi="Arial"/>
          <w:color w:val="333333"/>
          <w:sz w:val="22"/>
          <w:szCs w:val="22"/>
        </w:rPr>
        <w:t xml:space="preserve">This is the second practical constraint. Swiss banks require a Swiss resident to open a business account. You cannot walk into UBS from abroad. But you do not need UBS. Here is what works:</w:t>
      </w:r>
    </w:p>
    <w:p>
      <w:pPr>
        <w:spacing w:before="80" w:after="80"/>
      </w:pPr>
      <w:r>
        <w:t xml:space="preserve"/>
      </w:r>
    </w:p>
    <w:p>
      <w:pPr>
        <w:pStyle w:val="Heading2"/>
        <w:spacing w:before="320" w:after="80"/>
      </w:pPr>
      <w:r>
        <w:rPr>
          <w:rFonts w:ascii="Arial" w:cs="Arial" w:eastAsia="Arial" w:hAnsi="Arial"/>
          <w:b/>
          <w:bCs/>
          <w:color w:val="1D9E75"/>
          <w:sz w:val="28"/>
          <w:szCs w:val="28"/>
        </w:rPr>
        <w:t xml:space="preserve">Immediate options (work today, remote)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160"/>
        <w:gridCol w:w="2880"/>
        <w:gridCol w:w="2160"/>
        <w:gridCol w:w="2160"/>
      </w:tblGrid>
      <w:tr>
        <w:tc>
          <w:tcPr>
            <w:tcW w:type="dxa" w:w="21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Bank / Fintech</w:t>
            </w:r>
          </w:p>
        </w:tc>
        <w:tc>
          <w:tcPr>
            <w:tcW w:type="dxa" w:w="288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Why it works</w:t>
            </w:r>
          </w:p>
        </w:tc>
        <w:tc>
          <w:tcPr>
            <w:tcW w:type="dxa" w:w="21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Monthly cost</w:t>
            </w:r>
          </w:p>
        </w:tc>
        <w:tc>
          <w:tcPr>
            <w:tcW w:type="dxa" w:w="21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Crypto friendly</w:t>
            </w:r>
          </w:p>
        </w:tc>
      </w:tr>
      <w:tr>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1D9E75"/>
                <w:sz w:val="20"/>
                <w:szCs w:val="20"/>
              </w:rPr>
              <w:t xml:space="preserve">Mercury (US)</w:t>
            </w:r>
          </w:p>
        </w:tc>
        <w:tc>
          <w:tcPr>
            <w:tcW w:type="dxa" w:w="28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Opens for Wyoming LLCs, fully remote, no SSN needed</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Free</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Yes</w:t>
            </w:r>
          </w:p>
        </w:tc>
      </w:tr>
      <w:tr>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1D9E75"/>
                <w:sz w:val="20"/>
                <w:szCs w:val="20"/>
              </w:rPr>
              <w:t xml:space="preserve">Wise Business</w:t>
            </w:r>
          </w:p>
        </w:tc>
        <w:tc>
          <w:tcPr>
            <w:tcW w:type="dxa" w:w="28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Multi-currency, EUR/CHF/USD, opens remotely with EIN</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Free + fees</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854F0B"/>
                <w:sz w:val="20"/>
                <w:szCs w:val="20"/>
              </w:rPr>
              <w:t xml:space="preserve">Partial</w:t>
            </w:r>
          </w:p>
        </w:tc>
      </w:tr>
      <w:tr>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1D9E75"/>
                <w:sz w:val="20"/>
                <w:szCs w:val="20"/>
              </w:rPr>
              <w:t xml:space="preserve">Relay (US)</w:t>
            </w:r>
          </w:p>
        </w:tc>
        <w:tc>
          <w:tcPr>
            <w:tcW w:type="dxa" w:w="28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Business checking, opens remotely for LLCs</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Free</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666666"/>
                <w:sz w:val="20"/>
                <w:szCs w:val="20"/>
              </w:rPr>
              <w:t xml:space="preserve">Limited</w:t>
            </w:r>
          </w:p>
        </w:tc>
      </w:tr>
      <w:tr>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1D9E75"/>
                <w:sz w:val="20"/>
                <w:szCs w:val="20"/>
              </w:rPr>
              <w:t xml:space="preserve">Airwallex</w:t>
            </w:r>
          </w:p>
        </w:tc>
        <w:tc>
          <w:tcPr>
            <w:tcW w:type="dxa" w:w="28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Global accounts, good for EUR payments</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333333"/>
                <w:sz w:val="20"/>
                <w:szCs w:val="20"/>
              </w:rPr>
              <w:t xml:space="preserve">Free + fees</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666666"/>
                <w:sz w:val="20"/>
                <w:szCs w:val="20"/>
              </w:rPr>
              <w:t xml:space="preserve">Limited</w:t>
            </w:r>
          </w:p>
        </w:tc>
      </w:tr>
    </w:tbl>
    <w:p>
      <w:pPr>
        <w:spacing w:before="80" w:after="80"/>
      </w:pPr>
      <w:r>
        <w:t xml:space="preserve"/>
      </w:r>
    </w:p>
    <w:p>
      <w:pPr>
        <w:pStyle w:val="Heading2"/>
        <w:spacing w:before="320" w:after="80"/>
      </w:pPr>
      <w:r>
        <w:rPr>
          <w:rFonts w:ascii="Arial" w:cs="Arial" w:eastAsia="Arial" w:hAnsi="Arial"/>
          <w:b/>
          <w:bCs/>
          <w:color w:val="534AB7"/>
          <w:sz w:val="28"/>
          <w:szCs w:val="28"/>
        </w:rPr>
        <w:t xml:space="preserve">Swiss banking options for Phase B</w:t>
      </w:r>
    </w:p>
    <w:p>
      <w:pPr>
        <w:pStyle w:val="ListParagraph"/>
        <w:numPr>
          <w:ilvl w:val="0"/>
          <w:numId w:val="2"/>
        </w:numPr>
        <w:spacing w:before="40" w:after="40"/>
      </w:pPr>
      <w:r>
        <w:rPr>
          <w:rFonts w:ascii="Arial" w:cs="Arial" w:eastAsia="Arial" w:hAnsi="Arial"/>
          <w:color w:val="333333"/>
          <w:sz w:val="22"/>
          <w:szCs w:val="22"/>
        </w:rPr>
        <w:t xml:space="preserve">Neon (Switzerland) — Swiss digital bank, crypto-friendly, opens accounts for Swiss GmbH remotely</w:t>
      </w:r>
    </w:p>
    <w:p>
      <w:pPr>
        <w:pStyle w:val="ListParagraph"/>
        <w:numPr>
          <w:ilvl w:val="0"/>
          <w:numId w:val="2"/>
        </w:numPr>
        <w:spacing w:before="40" w:after="40"/>
      </w:pPr>
      <w:r>
        <w:rPr>
          <w:rFonts w:ascii="Arial" w:cs="Arial" w:eastAsia="Arial" w:hAnsi="Arial"/>
          <w:color w:val="333333"/>
          <w:sz w:val="22"/>
          <w:szCs w:val="22"/>
        </w:rPr>
        <w:t xml:space="preserve">Hypothekarbank Lenzburg — known for accepting crypto-adjacent businesses, Swiss, reputable</w:t>
      </w:r>
    </w:p>
    <w:p>
      <w:pPr>
        <w:pStyle w:val="ListParagraph"/>
        <w:numPr>
          <w:ilvl w:val="0"/>
          <w:numId w:val="2"/>
        </w:numPr>
        <w:spacing w:before="40" w:after="40"/>
      </w:pPr>
      <w:r>
        <w:rPr>
          <w:rFonts w:ascii="Arial" w:cs="Arial" w:eastAsia="Arial" w:hAnsi="Arial"/>
          <w:color w:val="333333"/>
          <w:sz w:val="22"/>
          <w:szCs w:val="22"/>
        </w:rPr>
        <w:t xml:space="preserve">Bank Frick (Liechtenstein) — adjacent to Switzerland, strongly crypto-friendly, accepts non-resident owners with Swiss GmbH</w:t>
      </w:r>
    </w:p>
    <w:p>
      <w:pPr>
        <w:pStyle w:val="ListParagraph"/>
        <w:numPr>
          <w:ilvl w:val="0"/>
          <w:numId w:val="2"/>
        </w:numPr>
        <w:spacing w:before="40" w:after="40"/>
      </w:pPr>
      <w:r>
        <w:rPr>
          <w:rFonts w:ascii="Arial" w:cs="Arial" w:eastAsia="Arial" w:hAnsi="Arial"/>
          <w:color w:val="333333"/>
          <w:sz w:val="22"/>
          <w:szCs w:val="22"/>
        </w:rPr>
        <w:t xml:space="preserve">These require the Swiss GmbH to be registered first. Once it is, they open accounts for non-resident beneficial owners.</w:t>
      </w:r>
    </w:p>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Special Note: The Crypto Wallet and Swiss Law</w:t>
      </w:r>
    </w:p>
    <w:p>
      <w:pPr>
        <w:spacing w:before="60" w:after="100"/>
      </w:pPr>
      <w:r>
        <w:rPr>
          <w:rFonts w:ascii="Arial" w:cs="Arial" w:eastAsia="Arial" w:hAnsi="Arial"/>
          <w:color w:val="333333"/>
          <w:sz w:val="22"/>
          <w:szCs w:val="22"/>
        </w:rPr>
        <w:t xml:space="preserve">The wallet product (Phase 4) has specific legal considerations that are worth understanding now, even though you won't build it until month 5. This is not a reason to worry. It is a reason to plan.</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What FINMA (Swiss financial regulator) cares about</w:t>
      </w:r>
    </w:p>
    <w:p>
      <w:pPr>
        <w:pStyle w:val="ListParagraph"/>
        <w:numPr>
          <w:ilvl w:val="0"/>
          <w:numId w:val="2"/>
        </w:numPr>
        <w:spacing w:before="40" w:after="40"/>
      </w:pPr>
      <w:r>
        <w:rPr>
          <w:rFonts w:ascii="Arial" w:cs="Arial" w:eastAsia="Arial" w:hAnsi="Arial"/>
          <w:color w:val="333333"/>
          <w:sz w:val="22"/>
          <w:szCs w:val="22"/>
        </w:rPr>
        <w:t xml:space="preserve">If the wallet holds user funds on its servers: this is a financial service requiring a FINMA licence (expensive, complex)</w:t>
      </w:r>
    </w:p>
    <w:p>
      <w:pPr>
        <w:pStyle w:val="ListParagraph"/>
        <w:numPr>
          <w:ilvl w:val="0"/>
          <w:numId w:val="2"/>
        </w:numPr>
        <w:spacing w:before="40" w:after="40"/>
      </w:pPr>
      <w:r>
        <w:rPr>
          <w:rFonts w:ascii="Arial" w:cs="Arial" w:eastAsia="Arial" w:hAnsi="Arial"/>
          <w:color w:val="333333"/>
          <w:sz w:val="22"/>
          <w:szCs w:val="22"/>
        </w:rPr>
        <w:t xml:space="preserve">If the wallet is purely software where users hold their own keys: this is NOT a financial service. It is software.</w:t>
      </w:r>
    </w:p>
    <w:p>
      <w:pPr>
        <w:pStyle w:val="ListParagraph"/>
        <w:numPr>
          <w:ilvl w:val="0"/>
          <w:numId w:val="2"/>
        </w:numPr>
        <w:spacing w:before="40" w:after="40"/>
      </w:pPr>
      <w:r>
        <w:rPr>
          <w:rFonts w:ascii="Arial" w:cs="Arial" w:eastAsia="Arial" w:hAnsi="Arial"/>
          <w:color w:val="333333"/>
          <w:sz w:val="22"/>
          <w:szCs w:val="22"/>
        </w:rPr>
        <w:t xml:space="preserve">Our wallet design is the second type: keys never leave the user's device. This is the legally correct architecture.</w:t>
      </w:r>
    </w:p>
    <w:p>
      <w:pPr>
        <w:pStyle w:val="ListParagraph"/>
        <w:numPr>
          <w:ilvl w:val="0"/>
          <w:numId w:val="2"/>
        </w:numPr>
        <w:spacing w:before="40" w:after="40"/>
      </w:pPr>
      <w:r>
        <w:rPr>
          <w:rFonts w:ascii="Arial" w:cs="Arial" w:eastAsia="Arial" w:hAnsi="Arial"/>
          <w:color w:val="333333"/>
          <w:sz w:val="22"/>
          <w:szCs w:val="22"/>
        </w:rPr>
        <w:t xml:space="preserve">The P2P exchange using smart contracts for escrow: this is a grey area. Swiss legal advice required before launch. Budget CHF 2,000–3,000 for a FINMA-knowledgeable lawyer's opinion.</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The Wyoming LLC and crypto</w:t>
      </w:r>
    </w:p>
    <w:p>
      <w:pPr>
        <w:pStyle w:val="ListParagraph"/>
        <w:numPr>
          <w:ilvl w:val="0"/>
          <w:numId w:val="2"/>
        </w:numPr>
        <w:spacing w:before="40" w:after="40"/>
      </w:pPr>
      <w:r>
        <w:rPr>
          <w:rFonts w:ascii="Arial" w:cs="Arial" w:eastAsia="Arial" w:hAnsi="Arial"/>
          <w:color w:val="333333"/>
          <w:sz w:val="22"/>
          <w:szCs w:val="22"/>
        </w:rPr>
        <w:t xml:space="preserve">Wyoming is the most crypto-friendly state in the US — it passed the DAO LLC Act and has explicit crypto asset legislation</w:t>
      </w:r>
    </w:p>
    <w:p>
      <w:pPr>
        <w:pStyle w:val="ListParagraph"/>
        <w:numPr>
          <w:ilvl w:val="0"/>
          <w:numId w:val="2"/>
        </w:numPr>
        <w:spacing w:before="40" w:after="40"/>
      </w:pPr>
      <w:r>
        <w:rPr>
          <w:rFonts w:ascii="Arial" w:cs="Arial" w:eastAsia="Arial" w:hAnsi="Arial"/>
          <w:color w:val="333333"/>
          <w:sz w:val="22"/>
          <w:szCs w:val="22"/>
        </w:rPr>
        <w:t xml:space="preserve">A Wyoming LLC can legally hold and transact in crypto assets</w:t>
      </w:r>
    </w:p>
    <w:p>
      <w:pPr>
        <w:pStyle w:val="ListParagraph"/>
        <w:numPr>
          <w:ilvl w:val="0"/>
          <w:numId w:val="2"/>
        </w:numPr>
        <w:spacing w:before="40" w:after="40"/>
      </w:pPr>
      <w:r>
        <w:rPr>
          <w:rFonts w:ascii="Arial" w:cs="Arial" w:eastAsia="Arial" w:hAnsi="Arial"/>
          <w:color w:val="333333"/>
          <w:sz w:val="22"/>
          <w:szCs w:val="22"/>
        </w:rPr>
        <w:t xml:space="preserve">The LLC does not trigger US tax on foreign-sourced crypto income if you are not a US person</w:t>
      </w:r>
    </w:p>
    <w:p>
      <w:pPr>
        <w:pStyle w:val="ListParagraph"/>
        <w:numPr>
          <w:ilvl w:val="0"/>
          <w:numId w:val="2"/>
        </w:numPr>
        <w:spacing w:before="40" w:after="40"/>
      </w:pPr>
      <w:r>
        <w:rPr>
          <w:rFonts w:ascii="Arial" w:cs="Arial" w:eastAsia="Arial" w:hAnsi="Arial"/>
          <w:color w:val="333333"/>
          <w:sz w:val="22"/>
          <w:szCs w:val="22"/>
        </w:rPr>
        <w:t xml:space="preserve">Still: get a US tax accountant familiar with crypto for your annual filings. Budget $500–800/year.</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Design principle that solves most legal problems: the wallet holds no user funds. The exchange holds no funds. Smart contracts hold funds temporarily in escrow between two users. The platform facilitates but never custodies. This architecture is legally clean in Switzerland, Wyoming, and most European jurisdictions.</w:t>
            </w:r>
          </w:p>
        </w:tc>
      </w:tr>
    </w:tbl>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Your Swiss Citizenship Is Still Your Asset</w:t>
      </w:r>
    </w:p>
    <w:p>
      <w:pPr>
        <w:spacing w:before="60" w:after="100"/>
      </w:pPr>
      <w:r>
        <w:rPr>
          <w:rFonts w:ascii="Arial" w:cs="Arial" w:eastAsia="Arial" w:hAnsi="Arial"/>
          <w:color w:val="333333"/>
          <w:sz w:val="22"/>
          <w:szCs w:val="22"/>
        </w:rPr>
        <w:t xml:space="preserve">Being Swiss but not domiciled there is a constraint on registration. It is not a constraint on your identity, your story, your relationship with Proton, your FONGIT application, or your credibility in the Swiss tech ecosystem.</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What your Swiss citizenship enables regardless of domicile</w:t>
      </w:r>
    </w:p>
    <w:p>
      <w:pPr>
        <w:pStyle w:val="ListParagraph"/>
        <w:numPr>
          <w:ilvl w:val="0"/>
          <w:numId w:val="2"/>
        </w:numPr>
        <w:spacing w:before="40" w:after="40"/>
      </w:pPr>
      <w:r>
        <w:rPr>
          <w:rFonts w:ascii="Arial" w:cs="Arial" w:eastAsia="Arial" w:hAnsi="Arial"/>
          <w:color w:val="333333"/>
          <w:sz w:val="22"/>
          <w:szCs w:val="22"/>
        </w:rPr>
        <w:t xml:space="preserve">FONGIT applications: FONGIT funds Swiss-citizen-founded projects. Your citizenship qualifies you even with a Wyoming LLC during the bootstrap phase.</w:t>
      </w:r>
    </w:p>
    <w:p>
      <w:pPr>
        <w:pStyle w:val="ListParagraph"/>
        <w:numPr>
          <w:ilvl w:val="0"/>
          <w:numId w:val="2"/>
        </w:numPr>
        <w:spacing w:before="40" w:after="40"/>
      </w:pPr>
      <w:r>
        <w:rPr>
          <w:rFonts w:ascii="Arial" w:cs="Arial" w:eastAsia="Arial" w:hAnsi="Arial"/>
          <w:color w:val="333333"/>
          <w:sz w:val="22"/>
          <w:szCs w:val="22"/>
        </w:rPr>
        <w:t xml:space="preserve">Proton conversation: Andy Yen does not ask to see your commercial register. He asks about your mission and your values. Your being Swiss is a cultural and contextual asset that no legal structure changes.</w:t>
      </w:r>
    </w:p>
    <w:p>
      <w:pPr>
        <w:pStyle w:val="ListParagraph"/>
        <w:numPr>
          <w:ilvl w:val="0"/>
          <w:numId w:val="2"/>
        </w:numPr>
        <w:spacing w:before="40" w:after="40"/>
      </w:pPr>
      <w:r>
        <w:rPr>
          <w:rFonts w:ascii="Arial" w:cs="Arial" w:eastAsia="Arial" w:hAnsi="Arial"/>
          <w:color w:val="333333"/>
          <w:sz w:val="22"/>
          <w:szCs w:val="22"/>
        </w:rPr>
        <w:t xml:space="preserve">Swiss angel investors: being Swiss gives you access to Swiss networks, Swiss warm introductions, and Swiss investor trust that a foreign founder does not have.</w:t>
      </w:r>
    </w:p>
    <w:p>
      <w:pPr>
        <w:pStyle w:val="ListParagraph"/>
        <w:numPr>
          <w:ilvl w:val="0"/>
          <w:numId w:val="2"/>
        </w:numPr>
        <w:spacing w:before="40" w:after="40"/>
      </w:pPr>
      <w:r>
        <w:rPr>
          <w:rFonts w:ascii="Arial" w:cs="Arial" w:eastAsia="Arial" w:hAnsi="Arial"/>
          <w:color w:val="333333"/>
          <w:sz w:val="22"/>
          <w:szCs w:val="22"/>
        </w:rPr>
        <w:t xml:space="preserve">The path to Swiss residency: if the project reaches the scale where a Swiss GmbH makes sense and a Swiss work permit is possible, your citizenship makes that process straightforward. You are not a foreigner applying. You are a Swiss citizen returning.</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The strategy is: Wyoming LLC now, Swiss GmbH later, Swiss domicile when the project earns it. You are not hiding your Swiss identity. You are building toward it honestly.</w:t>
            </w:r>
          </w:p>
        </w:tc>
      </w:tr>
    </w:tbl>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Action List — This Week</w:t>
      </w:r>
    </w:p>
    <w:p>
      <w:pPr>
        <w:spacing w:before="60" w:after="100"/>
      </w:pPr>
      <w:r>
        <w:rPr>
          <w:rFonts w:ascii="Arial" w:cs="Arial" w:eastAsia="Arial" w:hAnsi="Arial"/>
          <w:color w:val="333333"/>
          <w:sz w:val="22"/>
          <w:szCs w:val="22"/>
        </w:rPr>
        <w:t xml:space="preserve">Everything below can be done from wherever you are right now. None of it requires travel. None of it requires a Swiss address. All of it is legal and correct.</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4320"/>
        <w:gridCol w:w="2160"/>
        <w:gridCol w:w="2160"/>
      </w:tblGrid>
      <w:tr>
        <w:tc>
          <w:tcPr>
            <w:tcW w:type="dxa" w:w="72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w:t>
            </w:r>
          </w:p>
        </w:tc>
        <w:tc>
          <w:tcPr>
            <w:tcW w:type="dxa" w:w="432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Action</w:t>
            </w:r>
          </w:p>
        </w:tc>
        <w:tc>
          <w:tcPr>
            <w:tcW w:type="dxa" w:w="21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Cost</w:t>
            </w:r>
          </w:p>
        </w:tc>
        <w:tc>
          <w:tcPr>
            <w:tcW w:type="dxa" w:w="21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Time</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1</w:t>
            </w:r>
          </w:p>
        </w:tc>
        <w:tc>
          <w:tcPr>
            <w:tcW w:type="dxa" w:w="43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0d0d1a"/>
                <w:sz w:val="20"/>
                <w:szCs w:val="20"/>
              </w:rPr>
              <w:t xml:space="preserve">Choose a company name. Check availability at Wyoming Secretary of State website.</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Free</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20 minutes</w:t>
            </w:r>
          </w:p>
        </w:tc>
      </w:tr>
      <w:tr>
        <w:tc>
          <w:tcPr>
            <w:tcW w:type="dxa" w:w="7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2</w:t>
            </w:r>
          </w:p>
        </w:tc>
        <w:tc>
          <w:tcPr>
            <w:tcW w:type="dxa" w:w="43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0d0d1a"/>
                <w:sz w:val="20"/>
                <w:szCs w:val="20"/>
              </w:rPr>
              <w:t xml:space="preserve">Register Wyoming LLC at wyomingagents.com. Upload passport. Pay filing fee.</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$150–300</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555555"/>
                <w:sz w:val="20"/>
                <w:szCs w:val="20"/>
              </w:rPr>
              <w:t xml:space="preserve">30 minutes + 24h wait</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3</w:t>
            </w:r>
          </w:p>
        </w:tc>
        <w:tc>
          <w:tcPr>
            <w:tcW w:type="dxa" w:w="43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0d0d1a"/>
                <w:sz w:val="20"/>
                <w:szCs w:val="20"/>
              </w:rPr>
              <w:t xml:space="preserve">Apply for EIN at IRS.gov/ein. Select 'LLC' as entity type. No SSN required.</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Free</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10 minutes</w:t>
            </w:r>
          </w:p>
        </w:tc>
      </w:tr>
      <w:tr>
        <w:tc>
          <w:tcPr>
            <w:tcW w:type="dxa" w:w="7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4</w:t>
            </w:r>
          </w:p>
        </w:tc>
        <w:tc>
          <w:tcPr>
            <w:tcW w:type="dxa" w:w="43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0d0d1a"/>
                <w:sz w:val="20"/>
                <w:szCs w:val="20"/>
              </w:rPr>
              <w:t xml:space="preserve">Open Mercury business account at mercury.com using EIN and Articles of Organization.</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Free</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555555"/>
                <w:sz w:val="20"/>
                <w:szCs w:val="20"/>
              </w:rPr>
              <w:t xml:space="preserve">1–2 days</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5</w:t>
            </w:r>
          </w:p>
        </w:tc>
        <w:tc>
          <w:tcPr>
            <w:tcW w:type="dxa" w:w="43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0d0d1a"/>
                <w:sz w:val="20"/>
                <w:szCs w:val="20"/>
              </w:rPr>
              <w:t xml:space="preserve">Open Wise Business account for EUR/CHF transactions. Link to Mercury.</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Free</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1 day</w:t>
            </w:r>
          </w:p>
        </w:tc>
      </w:tr>
      <w:tr>
        <w:tc>
          <w:tcPr>
            <w:tcW w:type="dxa" w:w="7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6</w:t>
            </w:r>
          </w:p>
        </w:tc>
        <w:tc>
          <w:tcPr>
            <w:tcW w:type="dxa" w:w="43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0d0d1a"/>
                <w:sz w:val="20"/>
                <w:szCs w:val="20"/>
              </w:rPr>
              <w:t xml:space="preserve">Set up Proton Mail with a project domain. project@yourdomain.org.</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~€4/month</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555555"/>
                <w:sz w:val="20"/>
                <w:szCs w:val="20"/>
              </w:rPr>
              <w:t xml:space="preserve">1 hour</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7</w:t>
            </w:r>
          </w:p>
        </w:tc>
        <w:tc>
          <w:tcPr>
            <w:tcW w:type="dxa" w:w="43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0d0d1a"/>
                <w:sz w:val="20"/>
                <w:szCs w:val="20"/>
              </w:rPr>
              <w:t xml:space="preserve">Draft a one-page internal document: company purpose, your role, your ownership percentage. Keep it private.</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1D9E75"/>
                <w:sz w:val="20"/>
                <w:szCs w:val="20"/>
              </w:rPr>
              <w:t xml:space="preserve">Free</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1 hour</w:t>
            </w:r>
          </w:p>
        </w:tc>
      </w:tr>
      <w:tr>
        <w:tc>
          <w:tcPr>
            <w:tcW w:type="dxa" w:w="7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8</w:t>
            </w:r>
          </w:p>
        </w:tc>
        <w:tc>
          <w:tcPr>
            <w:tcW w:type="dxa" w:w="43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0d0d1a"/>
                <w:sz w:val="20"/>
                <w:szCs w:val="20"/>
              </w:rPr>
              <w:t xml:space="preserve">Note the name of your registered agent and annual report due date. Put it in your calendar.</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1D9E75"/>
                <w:sz w:val="20"/>
                <w:szCs w:val="20"/>
              </w:rPr>
              <w:t xml:space="preserve">Free</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555555"/>
                <w:sz w:val="20"/>
                <w:szCs w:val="20"/>
              </w:rPr>
              <w:t xml:space="preserve">5 minutes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Total this-week cost: under $500. Total this-week time: one afternoon. By end of this week you have a legal entity, a bank account, and a project email. That is everything you need to start building.</w:t>
            </w:r>
          </w:p>
        </w:tc>
      </w:tr>
    </w:tbl>
    <w:p>
      <w:pPr>
        <w:pBdr>
          <w:bottom w:val="single" w:color="1D9E75" w:sz="6" w:space="1"/>
        </w:pBdr>
        <w:spacing w:before="160" w:after="160"/>
      </w:pPr>
      <w:r>
        <w:t xml:space="preserve"/>
      </w:r>
    </w:p>
    <w:p>
      <w:pPr>
        <w:spacing w:before="80" w:after="80"/>
      </w:pPr>
      <w:r>
        <w:t xml:space="preserve"/>
      </w:r>
    </w:p>
    <w:p>
      <w:pPr>
        <w:pBdr>
          <w:top w:val="single" w:color="534AB7" w:sz="8" w:space="6"/>
          <w:bottom w:val="single" w:color="534AB7" w:sz="8" w:space="6"/>
        </w:pBdr>
        <w:spacing w:before="240" w:after="120"/>
        <w:jc w:val="center"/>
      </w:pPr>
      <w:r>
        <w:rPr>
          <w:rFonts w:ascii="Arial" w:cs="Arial" w:eastAsia="Arial" w:hAnsi="Arial"/>
          <w:b/>
          <w:bCs/>
          <w:color w:val="1D9E75"/>
          <w:sz w:val="26"/>
          <w:szCs w:val="26"/>
        </w:rPr>
        <w:br/>
        <w:t xml:space="preserve">Wyoming today.</w:t>
      </w:r>
      <w:r>
        <w:rPr>
          <w:rFonts w:ascii="Arial" w:cs="Arial" w:eastAsia="Arial" w:hAnsi="Arial"/>
          <w:b/>
          <w:bCs/>
          <w:color w:val="534AB7"/>
          <w:sz w:val="26"/>
          <w:szCs w:val="26"/>
        </w:rPr>
        <w:br/>
        <w:t xml:space="preserve">Switzerland when you earn it.</w:t>
      </w:r>
      <w:r>
        <w:rPr>
          <w:rFonts w:ascii="Arial" w:cs="Arial" w:eastAsia="Arial" w:hAnsi="Arial"/>
          <w:i/>
          <w:iCs/>
          <w:color w:val="555555"/>
          <w:sz w:val="22"/>
          <w:szCs w:val="22"/>
        </w:rPr>
        <w:br/>
        <w:t xml:space="preserve">Your citizenship is already there waiting for you.</w:t>
      </w:r>
    </w:p>
    <w:p>
      <w:pPr>
        <w:spacing w:before="80" w:after="80"/>
      </w:pPr>
      <w:r>
        <w:t xml:space="preserve"/>
      </w:r>
    </w:p>
    <w:p>
      <w:pPr>
        <w:spacing w:before="200" w:after="0"/>
        <w:jc w:val="center"/>
      </w:pPr>
      <w:r>
        <w:rPr>
          <w:rFonts w:ascii="Arial" w:cs="Arial" w:eastAsia="Arial" w:hAnsi="Arial"/>
          <w:color w:val="AAAAAA"/>
          <w:sz w:val="18"/>
          <w:szCs w:val="18"/>
        </w:rPr>
        <w:t>Vela Protocol — the developer hub for Velcro Wallet and future related AI and Web3 projects — Legal Structure Plan — March 2026 — Confidential</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80" w:after="120"/>
      <w:outlineLvl w:val="0"/>
    </w:pPr>
    <w:rPr>
      <w:rFonts w:ascii="Arial" w:cs="Arial" w:eastAsia="Arial" w:hAnsi="Arial"/>
      <w:b/>
      <w:bCs/>
      <w:sz w:val="40"/>
      <w:szCs w:val="40"/>
    </w:rPr>
  </w:style>
  <w:style w:type="paragraph" w:styleId="Heading2">
    <w:name w:val="Heading 2"/>
    <w:basedOn w:val="Normal"/>
    <w:next w:val="Normal"/>
    <w:qFormat/>
    <w:pPr>
      <w:spacing w:before="320" w:after="80"/>
      <w:outlineLvl w:val="1"/>
    </w:pPr>
    <w:rPr>
      <w:rFonts w:ascii="Arial" w:cs="Arial" w:eastAsia="Arial" w:hAnsi="Arial"/>
      <w:b/>
      <w:bCs/>
      <w:sz w:val="28"/>
      <w:szCs w:val="28"/>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2026-03-29T21:17:12.061Z</dcterms:created>
  <dcterms:modified xsi:type="dcterms:W3CDTF">2026-03-29T21:17:12.062Z</dcterms:modified>
</cp:coreProperties>
</file>

<file path=docProps/custom.xml><?xml version="1.0" encoding="utf-8"?>
<Properties xmlns="http://schemas.openxmlformats.org/officeDocument/2006/custom-properties" xmlns:vt="http://schemas.openxmlformats.org/officeDocument/2006/docPropsVTypes"/>
</file>