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440" w:after="80"/>
        <w:jc w:val="center"/>
      </w:pPr>
      <w:r>
        <w:rPr>
          <w:rFonts w:ascii="Arial" w:cs="Arial" w:eastAsia="Arial" w:hAnsi="Arial"/>
          <w:b/>
          <w:bCs/>
          <w:color w:val="534AB7"/>
          <w:sz w:val="52"/>
          <w:szCs w:val="52"/>
        </w:rPr>
        <w:t>VELA PROTOCOL</w:t>
      </w:r>
    </w:p>
    <w:p>
      <w:pPr>
        <w:spacing w:before="0" w:after="80"/>
        <w:jc w:val="center"/>
      </w:pPr>
      <w:r>
        <w:rPr>
          <w:rFonts w:ascii="Arial" w:cs="Arial" w:eastAsia="Arial" w:hAnsi="Arial"/>
          <w:color w:val="1D9E75"/>
          <w:sz w:val="34"/>
          <w:szCs w:val="34"/>
        </w:rPr>
        <w:t xml:space="preserve">If I Were a Swiss Resident Again</w:t>
      </w:r>
    </w:p>
    <w:p>
      <w:pPr>
        <w:spacing w:before="0" w:after="80"/>
        <w:jc w:val="center"/>
      </w:pPr>
      <w:r>
        <w:rPr>
          <w:rFonts w:ascii="Arial" w:cs="Arial" w:eastAsia="Arial" w:hAnsi="Arial"/>
          <w:color w:val="888888"/>
          <w:sz w:val="22"/>
          <w:szCs w:val="22"/>
        </w:rPr>
        <w:t xml:space="preserve">What returning to Switzerland unlocks — and exactly how it works</w:t>
      </w:r>
    </w:p>
    <w:p>
      <w:pPr>
        <w:spacing w:before="0" w:after="500"/>
        <w:jc w:val="center"/>
      </w:pPr>
      <w:r>
        <w:rPr>
          <w:rFonts w:ascii="Arial" w:cs="Arial" w:eastAsia="Arial" w:hAnsi="Arial"/>
          <w:color w:val="999999"/>
          <w:sz w:val="20"/>
          <w:szCs w:val="20"/>
        </w:rPr>
        <w:t xml:space="preserve">March 2026 — Confidential planning document</w:t>
      </w:r>
    </w:p>
    <w:p>
      <w:pPr>
        <w:pBdr>
          <w:top w:val="single" w:color="1D9E75" w:sz="8" w:space="4"/>
          <w:bottom w:val="single" w:color="1D9E75" w:sz="8" w:space="4"/>
        </w:pBdr>
        <w:spacing w:before="120" w:after="120"/>
        <w:jc w:val="center"/>
      </w:pPr>
      <w:r>
        <w:rPr>
          <w:rFonts w:ascii="Arial" w:cs="Arial" w:eastAsia="Arial" w:hAnsi="Arial"/>
          <w:b/>
          <w:bCs/>
          <w:i/>
          <w:iCs/>
          <w:color w:val="0d0d1a"/>
          <w:sz w:val="24"/>
          <w:szCs w:val="24"/>
        </w:rPr>
        <w:t xml:space="preserve">A Swiss citizen can return to Switzerland at any time. No visa. No quota. No application. Just show up, find a flat, and register.</w:t>
      </w:r>
    </w:p>
    <w:p>
      <w:pPr>
        <w:spacing w:before="80" w:after="80"/>
      </w:pPr>
      <w:r>
        <w:t xml:space="preserve"/>
      </w:r>
    </w:p>
    <w:p>
      <w:pPr>
        <w:spacing w:before="200" w:after="2400"/>
        <w:jc w:val="center"/>
      </w:pPr>
      <w:r>
        <w:rPr>
          <w:rFonts w:ascii="Arial" w:cs="Arial" w:eastAsia="Arial" w:hAnsi="Arial"/>
          <w:i/>
          <w:iCs/>
          <w:color w:val="777777"/>
          <w:sz w:val="20"/>
          <w:szCs w:val="20"/>
        </w:rPr>
        <w:t xml:space="preserve">This document covers: returning process, company registration, banking, FONGIT, Proton conversations, and why residency changes everything for the project.</w:t>
      </w:r>
    </w:p>
    <w:p>
      <w:r>
        <w:br w:type="page"/>
      </w:r>
    </w:p>
    <w:p>
      <w:pPr>
        <w:pStyle w:val="Heading1"/>
        <w:spacing w:before="480" w:after="120"/>
      </w:pPr>
      <w:r>
        <w:rPr>
          <w:rFonts w:ascii="Arial" w:cs="Arial" w:eastAsia="Arial" w:hAnsi="Arial"/>
          <w:b/>
          <w:bCs/>
          <w:color w:val="0d0d1a"/>
          <w:sz w:val="40"/>
          <w:szCs w:val="40"/>
        </w:rPr>
        <w:t xml:space="preserve">The Single Most Important Fact</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
        <w:gridCol w:w="9080"/>
      </w:tblGrid>
      <w:tr>
        <w:tc>
          <w:tcPr>
            <w:tcW w:type="dxa" w:w="280"/>
            <w:tcBorders>
              <w:top w:val="none" w:color="FFFFFF" w:sz="0"/>
              <w:left w:val="none" w:color="FFFFFF" w:sz="0"/>
              <w:bottom w:val="none" w:color="FFFFFF" w:sz="0"/>
              <w:right w:val="none" w:color="FFFFFF" w:sz="0"/>
            </w:tcBorders>
            <w:shd w:fill="1D9E75" w:val="clear"/>
            <w:tcMar>
              <w:top w:type="dxa" w:w="80"/>
              <w:left w:type="dxa" w:w="80"/>
              <w:bottom w:type="dxa" w:w="80"/>
              <w:right w:type="dxa" w:w="80"/>
            </w:tcMar>
          </w:tcPr>
          <w:p>
            <w:r>
              <w:t xml:space="preserve"/>
            </w:r>
          </w:p>
        </w:tc>
        <w:tc>
          <w:tcPr>
            <w:tcW w:type="dxa" w:w="908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i/>
                <w:iCs/>
                <w:color w:val="0d0d1a"/>
                <w:sz w:val="22"/>
                <w:szCs w:val="22"/>
              </w:rPr>
              <w:t xml:space="preserve">You are a Swiss citizen. You have the unconditional right to live anywhere in Switzerland, work anywhere, own property, start a company, vote, and access the full Swiss healthcare and social system. No permit. No quota. No employer sponsorship. No application. You just go.</w:t>
            </w:r>
          </w:p>
        </w:tc>
      </w:tr>
    </w:tbl>
    <w:p>
      <w:pPr>
        <w:spacing w:before="80" w:after="80"/>
      </w:pPr>
      <w:r>
        <w:t xml:space="preserve"/>
      </w:r>
    </w:p>
    <w:p>
      <w:pPr>
        <w:spacing w:before="60" w:after="100"/>
      </w:pPr>
      <w:r>
        <w:rPr>
          <w:rFonts w:ascii="Arial" w:cs="Arial" w:eastAsia="Arial" w:hAnsi="Arial"/>
          <w:color w:val="333333"/>
          <w:sz w:val="22"/>
          <w:szCs w:val="22"/>
        </w:rPr>
        <w:t xml:space="preserve">This is genuinely extraordinary compared to almost every other country on earth. A French citizen returning to France has this right. A Swiss citizen returning to Switzerland has it. But almost nobody else does. The complexity you read about in Swiss immigration — the B permits, C permits, quotas, FINMA licences — none of that applies to you. That is for foreigners.</w:t>
      </w:r>
    </w:p>
    <w:p>
      <w:pPr>
        <w:spacing w:before="60" w:after="100"/>
      </w:pPr>
      <w:r>
        <w:rPr>
          <w:rFonts w:ascii="Arial" w:cs="Arial" w:eastAsia="Arial" w:hAnsi="Arial"/>
          <w:color w:val="333333"/>
          <w:sz w:val="22"/>
          <w:szCs w:val="22"/>
        </w:rPr>
        <w:t xml:space="preserve">The entire legal problem that stopped you registering a GmbH — needing a Swiss-resident director — disappears the moment you register your address with your commune. You become that director. Immediately. That same day.</w:t>
      </w:r>
    </w:p>
    <w:p>
      <w:pPr>
        <w:pBdr>
          <w:bottom w:val="single" w:color="1D9E75" w:sz="6" w:space="1"/>
        </w:pBdr>
        <w:spacing w:before="160" w:after="160"/>
      </w:pPr>
      <w:r>
        <w:t xml:space="preserve"/>
      </w:r>
    </w:p>
    <w:p>
      <w:r>
        <w:br w:type="page"/>
      </w:r>
    </w:p>
    <w:p>
      <w:pPr>
        <w:pStyle w:val="Heading1"/>
        <w:spacing w:before="480" w:after="120"/>
      </w:pPr>
      <w:r>
        <w:rPr>
          <w:rFonts w:ascii="Arial" w:cs="Arial" w:eastAsia="Arial" w:hAnsi="Arial"/>
          <w:b/>
          <w:bCs/>
          <w:color w:val="0d0d1a"/>
          <w:sz w:val="40"/>
          <w:szCs w:val="40"/>
        </w:rPr>
        <w:t xml:space="preserve">What Returning to Switzerland Actually Looks Like</w:t>
      </w:r>
    </w:p>
    <w:p>
      <w:pPr>
        <w:spacing w:before="60" w:after="100"/>
      </w:pPr>
      <w:r>
        <w:rPr>
          <w:rFonts w:ascii="Arial" w:cs="Arial" w:eastAsia="Arial" w:hAnsi="Arial"/>
          <w:color w:val="333333"/>
          <w:sz w:val="22"/>
          <w:szCs w:val="22"/>
        </w:rPr>
        <w:t xml:space="preserve">Here is the process in full. It is simpler than moving to any other European country.</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8640"/>
      </w:tblGrid>
      <w:tr>
        <w:tc>
          <w:tcPr>
            <w:tcW w:type="dxa" w:w="720"/>
            <w:tcBorders>
              <w:top w:val="none" w:color="FFFFFF" w:sz="0"/>
              <w:left w:val="none" w:color="FFFFFF" w:sz="0"/>
              <w:bottom w:val="none" w:color="FFFFFF" w:sz="0"/>
              <w:right w:val="none" w:color="FFFFFF" w:sz="0"/>
            </w:tcBorders>
            <w:shd w:fill="1D9E75" w:val="clear"/>
            <w:tcMar>
              <w:top w:type="dxa" w:w="120"/>
              <w:left w:type="dxa" w:w="80"/>
              <w:bottom w:type="dxa" w:w="120"/>
              <w:right w:type="dxa" w:w="80"/>
            </w:tcMar>
          </w:tcPr>
          <w:p>
            <w:pPr>
              <w:jc w:val="center"/>
            </w:pPr>
            <w:r>
              <w:rPr>
                <w:rFonts w:ascii="Arial" w:cs="Arial" w:eastAsia="Arial" w:hAnsi="Arial"/>
                <w:b/>
                <w:bCs/>
                <w:color w:val="FFFFFF"/>
                <w:sz w:val="32"/>
                <w:szCs w:val="32"/>
              </w:rPr>
              <w:t xml:space="preserve">1</w:t>
            </w:r>
          </w:p>
        </w:tc>
        <w:tc>
          <w:tcPr>
            <w:tcW w:type="dxa" w:w="864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b/>
                <w:bCs/>
                <w:color w:val="0d0d1a"/>
                <w:sz w:val="24"/>
                <w:szCs w:val="24"/>
              </w:rPr>
              <w:t xml:space="preserve">Find accommodation</w:t>
            </w:r>
          </w:p>
          <w:p>
            <w:pPr>
              <w:spacing w:before="40"/>
            </w:pPr>
            <w:r>
              <w:rPr>
                <w:rFonts w:ascii="Arial" w:cs="Arial" w:eastAsia="Arial" w:hAnsi="Arial"/>
                <w:color w:val="555555"/>
                <w:sz w:val="20"/>
                <w:szCs w:val="20"/>
              </w:rPr>
              <w:t xml:space="preserve">Rent a flat or room anywhere in Switzerland. You can use a short-term rental, a flatshare, or a furnished apartment. You do not need a permanent lease to register. You need a valid address.</w:t>
            </w:r>
          </w:p>
          <w:p>
            <w:pPr>
              <w:spacing w:before="40"/>
            </w:pPr>
            <w:r>
              <w:rPr>
                <w:rFonts w:ascii="Arial" w:cs="Arial" w:eastAsia="Arial" w:hAnsi="Arial"/>
                <w:b/>
                <w:bCs/>
                <w:color w:val="1D9E75"/>
                <w:sz w:val="19"/>
                <w:szCs w:val="19"/>
              </w:rPr>
              <w:t xml:space="preserve">Cost: </w:t>
            </w:r>
            <w:r>
              <w:rPr>
                <w:rFonts w:ascii="Arial" w:cs="Arial" w:eastAsia="Arial" w:hAnsi="Arial"/>
                <w:color w:val="1D9E75"/>
                <w:sz w:val="19"/>
                <w:szCs w:val="19"/>
              </w:rPr>
              <w:t xml:space="preserve">Rent varies by canton: ~CHF 800–2,500/month for a studio   |   </w:t>
            </w:r>
            <w:r>
              <w:rPr>
                <w:rFonts w:ascii="Arial" w:cs="Arial" w:eastAsia="Arial" w:hAnsi="Arial"/>
                <w:b/>
                <w:bCs/>
                <w:color w:val="534AB7"/>
                <w:sz w:val="19"/>
                <w:szCs w:val="19"/>
              </w:rPr>
              <w:t xml:space="preserve">Time: </w:t>
            </w:r>
            <w:r>
              <w:rPr>
                <w:rFonts w:ascii="Arial" w:cs="Arial" w:eastAsia="Arial" w:hAnsi="Arial"/>
                <w:color w:val="534AB7"/>
                <w:sz w:val="19"/>
                <w:szCs w:val="19"/>
              </w:rPr>
              <w:t xml:space="preserve">Before you arrive</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8640"/>
      </w:tblGrid>
      <w:tr>
        <w:tc>
          <w:tcPr>
            <w:tcW w:type="dxa" w:w="720"/>
            <w:tcBorders>
              <w:top w:val="none" w:color="FFFFFF" w:sz="0"/>
              <w:left w:val="none" w:color="FFFFFF" w:sz="0"/>
              <w:bottom w:val="none" w:color="FFFFFF" w:sz="0"/>
              <w:right w:val="none" w:color="FFFFFF" w:sz="0"/>
            </w:tcBorders>
            <w:shd w:fill="534AB7" w:val="clear"/>
            <w:tcMar>
              <w:top w:type="dxa" w:w="120"/>
              <w:left w:type="dxa" w:w="80"/>
              <w:bottom w:type="dxa" w:w="120"/>
              <w:right w:type="dxa" w:w="80"/>
            </w:tcMar>
          </w:tcPr>
          <w:p>
            <w:pPr>
              <w:jc w:val="center"/>
            </w:pPr>
            <w:r>
              <w:rPr>
                <w:rFonts w:ascii="Arial" w:cs="Arial" w:eastAsia="Arial" w:hAnsi="Arial"/>
                <w:b/>
                <w:bCs/>
                <w:color w:val="FFFFFF"/>
                <w:sz w:val="32"/>
                <w:szCs w:val="32"/>
              </w:rPr>
              <w:t xml:space="preserve">2</w:t>
            </w:r>
          </w:p>
        </w:tc>
        <w:tc>
          <w:tcPr>
            <w:tcW w:type="dxa" w:w="8640"/>
            <w:tcBorders>
              <w:top w:val="none" w:color="FFFFFF" w:sz="0"/>
              <w:left w:val="none" w:color="FFFFFF" w:sz="0"/>
              <w:bottom w:val="none" w:color="FFFFFF" w:sz="0"/>
              <w:right w:val="none" w:color="FFFFFF" w:sz="0"/>
            </w:tcBorders>
            <w:shd w:fill="F7F5FF" w:val="clear"/>
            <w:tcMar>
              <w:top w:type="dxa" w:w="120"/>
              <w:left w:type="dxa" w:w="200"/>
              <w:bottom w:type="dxa" w:w="120"/>
              <w:right w:type="dxa" w:w="160"/>
            </w:tcMar>
          </w:tcPr>
          <w:p>
            <w:r>
              <w:rPr>
                <w:rFonts w:ascii="Arial" w:cs="Arial" w:eastAsia="Arial" w:hAnsi="Arial"/>
                <w:b/>
                <w:bCs/>
                <w:color w:val="0d0d1a"/>
                <w:sz w:val="24"/>
                <w:szCs w:val="24"/>
              </w:rPr>
              <w:t xml:space="preserve">Register with your commune (Gemeinde / Commune)</w:t>
            </w:r>
          </w:p>
          <w:p>
            <w:pPr>
              <w:spacing w:before="40"/>
            </w:pPr>
            <w:r>
              <w:rPr>
                <w:rFonts w:ascii="Arial" w:cs="Arial" w:eastAsia="Arial" w:hAnsi="Arial"/>
                <w:color w:val="555555"/>
                <w:sz w:val="20"/>
                <w:szCs w:val="20"/>
              </w:rPr>
              <w:t xml:space="preserve">Go to the local residents' registration office (Einwohnerkontrolle / Controle des habitants) with your Swiss passport and your rental agreement. They register you in the commune. That is all. You are now a Swiss resident.</w:t>
            </w:r>
          </w:p>
          <w:p>
            <w:pPr>
              <w:spacing w:before="40"/>
            </w:pPr>
            <w:r>
              <w:rPr>
                <w:rFonts w:ascii="Arial" w:cs="Arial" w:eastAsia="Arial" w:hAnsi="Arial"/>
                <w:b/>
                <w:bCs/>
                <w:color w:val="1D9E75"/>
                <w:sz w:val="19"/>
                <w:szCs w:val="19"/>
              </w:rPr>
              <w:t xml:space="preserve">Cost: </w:t>
            </w:r>
            <w:r>
              <w:rPr>
                <w:rFonts w:ascii="Arial" w:cs="Arial" w:eastAsia="Arial" w:hAnsi="Arial"/>
                <w:color w:val="1D9E75"/>
                <w:sz w:val="19"/>
                <w:szCs w:val="19"/>
              </w:rPr>
              <w:t xml:space="preserve">CHF 0–100 depending on canton   |   </w:t>
            </w:r>
            <w:r>
              <w:rPr>
                <w:rFonts w:ascii="Arial" w:cs="Arial" w:eastAsia="Arial" w:hAnsi="Arial"/>
                <w:b/>
                <w:bCs/>
                <w:color w:val="534AB7"/>
                <w:sz w:val="19"/>
                <w:szCs w:val="19"/>
              </w:rPr>
              <w:t xml:space="preserve">Time: </w:t>
            </w:r>
            <w:r>
              <w:rPr>
                <w:rFonts w:ascii="Arial" w:cs="Arial" w:eastAsia="Arial" w:hAnsi="Arial"/>
                <w:color w:val="534AB7"/>
                <w:sz w:val="19"/>
                <w:szCs w:val="19"/>
              </w:rPr>
              <w:t xml:space="preserve">Within 14 days of arrival</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8640"/>
      </w:tblGrid>
      <w:tr>
        <w:tc>
          <w:tcPr>
            <w:tcW w:type="dxa" w:w="720"/>
            <w:tcBorders>
              <w:top w:val="none" w:color="FFFFFF" w:sz="0"/>
              <w:left w:val="none" w:color="FFFFFF" w:sz="0"/>
              <w:bottom w:val="none" w:color="FFFFFF" w:sz="0"/>
              <w:right w:val="none" w:color="FFFFFF" w:sz="0"/>
            </w:tcBorders>
            <w:shd w:fill="185FA5" w:val="clear"/>
            <w:tcMar>
              <w:top w:type="dxa" w:w="120"/>
              <w:left w:type="dxa" w:w="80"/>
              <w:bottom w:type="dxa" w:w="120"/>
              <w:right w:type="dxa" w:w="80"/>
            </w:tcMar>
          </w:tcPr>
          <w:p>
            <w:pPr>
              <w:jc w:val="center"/>
            </w:pPr>
            <w:r>
              <w:rPr>
                <w:rFonts w:ascii="Arial" w:cs="Arial" w:eastAsia="Arial" w:hAnsi="Arial"/>
                <w:b/>
                <w:bCs/>
                <w:color w:val="FFFFFF"/>
                <w:sz w:val="32"/>
                <w:szCs w:val="32"/>
              </w:rPr>
              <w:t xml:space="preserve">3</w:t>
            </w:r>
          </w:p>
        </w:tc>
        <w:tc>
          <w:tcPr>
            <w:tcW w:type="dxa" w:w="8640"/>
            <w:tcBorders>
              <w:top w:val="none" w:color="FFFFFF" w:sz="0"/>
              <w:left w:val="none" w:color="FFFFFF" w:sz="0"/>
              <w:bottom w:val="none" w:color="FFFFFF" w:sz="0"/>
              <w:right w:val="none" w:color="FFFFFF" w:sz="0"/>
            </w:tcBorders>
            <w:shd w:fill="E6F1FB" w:val="clear"/>
            <w:tcMar>
              <w:top w:type="dxa" w:w="120"/>
              <w:left w:type="dxa" w:w="200"/>
              <w:bottom w:type="dxa" w:w="120"/>
              <w:right w:type="dxa" w:w="160"/>
            </w:tcMar>
          </w:tcPr>
          <w:p>
            <w:r>
              <w:rPr>
                <w:rFonts w:ascii="Arial" w:cs="Arial" w:eastAsia="Arial" w:hAnsi="Arial"/>
                <w:b/>
                <w:bCs/>
                <w:color w:val="0d0d1a"/>
                <w:sz w:val="24"/>
                <w:szCs w:val="24"/>
              </w:rPr>
              <w:t xml:space="preserve">Get a health insurance (Krankenkasse)</w:t>
            </w:r>
          </w:p>
          <w:p>
            <w:pPr>
              <w:spacing w:before="40"/>
            </w:pPr>
            <w:r>
              <w:rPr>
                <w:rFonts w:ascii="Arial" w:cs="Arial" w:eastAsia="Arial" w:hAnsi="Arial"/>
                <w:color w:val="555555"/>
                <w:sz w:val="20"/>
                <w:szCs w:val="20"/>
              </w:rPr>
              <w:t xml:space="preserve">Health insurance is mandatory in Switzerland. You have 3 months from arrival to choose a provider. Premiums vary by canton and age. This is the biggest ongoing cost to plan for.</w:t>
            </w:r>
          </w:p>
          <w:p>
            <w:pPr>
              <w:spacing w:before="40"/>
            </w:pPr>
            <w:r>
              <w:rPr>
                <w:rFonts w:ascii="Arial" w:cs="Arial" w:eastAsia="Arial" w:hAnsi="Arial"/>
                <w:b/>
                <w:bCs/>
                <w:color w:val="1D9E75"/>
                <w:sz w:val="19"/>
                <w:szCs w:val="19"/>
              </w:rPr>
              <w:t xml:space="preserve">Cost: </w:t>
            </w:r>
            <w:r>
              <w:rPr>
                <w:rFonts w:ascii="Arial" w:cs="Arial" w:eastAsia="Arial" w:hAnsi="Arial"/>
                <w:color w:val="1D9E75"/>
                <w:sz w:val="19"/>
                <w:szCs w:val="19"/>
              </w:rPr>
              <w:t xml:space="preserve">CHF 300–600/month depending on age and canton   |   </w:t>
            </w:r>
            <w:r>
              <w:rPr>
                <w:rFonts w:ascii="Arial" w:cs="Arial" w:eastAsia="Arial" w:hAnsi="Arial"/>
                <w:b/>
                <w:bCs/>
                <w:color w:val="534AB7"/>
                <w:sz w:val="19"/>
                <w:szCs w:val="19"/>
              </w:rPr>
              <w:t xml:space="preserve">Time: </w:t>
            </w:r>
            <w:r>
              <w:rPr>
                <w:rFonts w:ascii="Arial" w:cs="Arial" w:eastAsia="Arial" w:hAnsi="Arial"/>
                <w:color w:val="534AB7"/>
                <w:sz w:val="19"/>
                <w:szCs w:val="19"/>
              </w:rPr>
              <w:t xml:space="preserve">Within 3 months of registration</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8640"/>
      </w:tblGrid>
      <w:tr>
        <w:tc>
          <w:tcPr>
            <w:tcW w:type="dxa" w:w="720"/>
            <w:tcBorders>
              <w:top w:val="none" w:color="FFFFFF" w:sz="0"/>
              <w:left w:val="none" w:color="FFFFFF" w:sz="0"/>
              <w:bottom w:val="none" w:color="FFFFFF" w:sz="0"/>
              <w:right w:val="none" w:color="FFFFFF" w:sz="0"/>
            </w:tcBorders>
            <w:shd w:fill="1D9E75" w:val="clear"/>
            <w:tcMar>
              <w:top w:type="dxa" w:w="120"/>
              <w:left w:type="dxa" w:w="80"/>
              <w:bottom w:type="dxa" w:w="120"/>
              <w:right w:type="dxa" w:w="80"/>
            </w:tcMar>
          </w:tcPr>
          <w:p>
            <w:pPr>
              <w:jc w:val="center"/>
            </w:pPr>
            <w:r>
              <w:rPr>
                <w:rFonts w:ascii="Arial" w:cs="Arial" w:eastAsia="Arial" w:hAnsi="Arial"/>
                <w:b/>
                <w:bCs/>
                <w:color w:val="FFFFFF"/>
                <w:sz w:val="32"/>
                <w:szCs w:val="32"/>
              </w:rPr>
              <w:t xml:space="preserve">4</w:t>
            </w:r>
          </w:p>
        </w:tc>
        <w:tc>
          <w:tcPr>
            <w:tcW w:type="dxa" w:w="864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b/>
                <w:bCs/>
                <w:color w:val="0d0d1a"/>
                <w:sz w:val="24"/>
                <w:szCs w:val="24"/>
              </w:rPr>
              <w:t xml:space="preserve">Register with your canton's tax authority</w:t>
            </w:r>
          </w:p>
          <w:p>
            <w:pPr>
              <w:spacing w:before="40"/>
            </w:pPr>
            <w:r>
              <w:rPr>
                <w:rFonts w:ascii="Arial" w:cs="Arial" w:eastAsia="Arial" w:hAnsi="Arial"/>
                <w:color w:val="555555"/>
                <w:sz w:val="20"/>
                <w:szCs w:val="20"/>
              </w:rPr>
              <w:t xml:space="preserve">Your commune registration automatically notifies the cantonal tax authority. You will receive a tax assessment in your first year. Swiss taxes are paid on worldwide income, but there are treaties for income earned through foreign companies.</w:t>
            </w:r>
          </w:p>
          <w:p>
            <w:pPr>
              <w:spacing w:before="40"/>
            </w:pPr>
            <w:r>
              <w:rPr>
                <w:rFonts w:ascii="Arial" w:cs="Arial" w:eastAsia="Arial" w:hAnsi="Arial"/>
                <w:b/>
                <w:bCs/>
                <w:color w:val="1D9E75"/>
                <w:sz w:val="19"/>
                <w:szCs w:val="19"/>
              </w:rPr>
              <w:t xml:space="preserve">Cost: </w:t>
            </w:r>
            <w:r>
              <w:rPr>
                <w:rFonts w:ascii="Arial" w:cs="Arial" w:eastAsia="Arial" w:hAnsi="Arial"/>
                <w:color w:val="1D9E75"/>
                <w:sz w:val="19"/>
                <w:szCs w:val="19"/>
              </w:rPr>
              <w:t xml:space="preserve">Taxes depend on income and canton   |   </w:t>
            </w:r>
            <w:r>
              <w:rPr>
                <w:rFonts w:ascii="Arial" w:cs="Arial" w:eastAsia="Arial" w:hAnsi="Arial"/>
                <w:b/>
                <w:bCs/>
                <w:color w:val="534AB7"/>
                <w:sz w:val="19"/>
                <w:szCs w:val="19"/>
              </w:rPr>
              <w:t xml:space="preserve">Time: </w:t>
            </w:r>
            <w:r>
              <w:rPr>
                <w:rFonts w:ascii="Arial" w:cs="Arial" w:eastAsia="Arial" w:hAnsi="Arial"/>
                <w:color w:val="534AB7"/>
                <w:sz w:val="19"/>
                <w:szCs w:val="19"/>
              </w:rPr>
              <w:t xml:space="preserve">Automatic after commune registration</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8640"/>
      </w:tblGrid>
      <w:tr>
        <w:tc>
          <w:tcPr>
            <w:tcW w:type="dxa" w:w="720"/>
            <w:tcBorders>
              <w:top w:val="none" w:color="FFFFFF" w:sz="0"/>
              <w:left w:val="none" w:color="FFFFFF" w:sz="0"/>
              <w:bottom w:val="none" w:color="FFFFFF" w:sz="0"/>
              <w:right w:val="none" w:color="FFFFFF" w:sz="0"/>
            </w:tcBorders>
            <w:shd w:fill="534AB7" w:val="clear"/>
            <w:tcMar>
              <w:top w:type="dxa" w:w="120"/>
              <w:left w:type="dxa" w:w="80"/>
              <w:bottom w:type="dxa" w:w="120"/>
              <w:right w:type="dxa" w:w="80"/>
            </w:tcMar>
          </w:tcPr>
          <w:p>
            <w:pPr>
              <w:jc w:val="center"/>
            </w:pPr>
            <w:r>
              <w:rPr>
                <w:rFonts w:ascii="Arial" w:cs="Arial" w:eastAsia="Arial" w:hAnsi="Arial"/>
                <w:b/>
                <w:bCs/>
                <w:color w:val="FFFFFF"/>
                <w:sz w:val="32"/>
                <w:szCs w:val="32"/>
              </w:rPr>
              <w:t xml:space="preserve">5</w:t>
            </w:r>
          </w:p>
        </w:tc>
        <w:tc>
          <w:tcPr>
            <w:tcW w:type="dxa" w:w="8640"/>
            <w:tcBorders>
              <w:top w:val="none" w:color="FFFFFF" w:sz="0"/>
              <w:left w:val="none" w:color="FFFFFF" w:sz="0"/>
              <w:bottom w:val="none" w:color="FFFFFF" w:sz="0"/>
              <w:right w:val="none" w:color="FFFFFF" w:sz="0"/>
            </w:tcBorders>
            <w:shd w:fill="F7F5FF" w:val="clear"/>
            <w:tcMar>
              <w:top w:type="dxa" w:w="120"/>
              <w:left w:type="dxa" w:w="200"/>
              <w:bottom w:type="dxa" w:w="120"/>
              <w:right w:type="dxa" w:w="160"/>
            </w:tcMar>
          </w:tcPr>
          <w:p>
            <w:r>
              <w:rPr>
                <w:rFonts w:ascii="Arial" w:cs="Arial" w:eastAsia="Arial" w:hAnsi="Arial"/>
                <w:b/>
                <w:bCs/>
                <w:color w:val="0d0d1a"/>
                <w:sz w:val="24"/>
                <w:szCs w:val="24"/>
              </w:rPr>
              <w:t xml:space="preserve">Register the Swiss GmbH</w:t>
            </w:r>
          </w:p>
          <w:p>
            <w:pPr>
              <w:spacing w:before="40"/>
            </w:pPr>
            <w:r>
              <w:rPr>
                <w:rFonts w:ascii="Arial" w:cs="Arial" w:eastAsia="Arial" w:hAnsi="Arial"/>
                <w:color w:val="555555"/>
                <w:sz w:val="20"/>
                <w:szCs w:val="20"/>
              </w:rPr>
              <w:t xml:space="preserve">With a Swiss address established, you are now a Swiss-resident managing director. A notary prepares the articles of association. The commercial register processes the GmbH in 2–3 weeks. You no longer need a nominee director.</w:t>
            </w:r>
          </w:p>
          <w:p>
            <w:pPr>
              <w:spacing w:before="40"/>
            </w:pPr>
            <w:r>
              <w:rPr>
                <w:rFonts w:ascii="Arial" w:cs="Arial" w:eastAsia="Arial" w:hAnsi="Arial"/>
                <w:b/>
                <w:bCs/>
                <w:color w:val="1D9E75"/>
                <w:sz w:val="19"/>
                <w:szCs w:val="19"/>
              </w:rPr>
              <w:t xml:space="preserve">Cost: </w:t>
            </w:r>
            <w:r>
              <w:rPr>
                <w:rFonts w:ascii="Arial" w:cs="Arial" w:eastAsia="Arial" w:hAnsi="Arial"/>
                <w:color w:val="1D9E75"/>
                <w:sz w:val="19"/>
                <w:szCs w:val="19"/>
              </w:rPr>
              <w:t xml:space="preserve">CHF 1,500–2,500 notary + CHF 20,000 share capital   |   </w:t>
            </w:r>
            <w:r>
              <w:rPr>
                <w:rFonts w:ascii="Arial" w:cs="Arial" w:eastAsia="Arial" w:hAnsi="Arial"/>
                <w:b/>
                <w:bCs/>
                <w:color w:val="534AB7"/>
                <w:sz w:val="19"/>
                <w:szCs w:val="19"/>
              </w:rPr>
              <w:t xml:space="preserve">Time: </w:t>
            </w:r>
            <w:r>
              <w:rPr>
                <w:rFonts w:ascii="Arial" w:cs="Arial" w:eastAsia="Arial" w:hAnsi="Arial"/>
                <w:color w:val="534AB7"/>
                <w:sz w:val="19"/>
                <w:szCs w:val="19"/>
              </w:rPr>
              <w:t xml:space="preserve">2–3 weeks after commune registration</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8640"/>
      </w:tblGrid>
      <w:tr>
        <w:tc>
          <w:tcPr>
            <w:tcW w:type="dxa" w:w="720"/>
            <w:tcBorders>
              <w:top w:val="none" w:color="FFFFFF" w:sz="0"/>
              <w:left w:val="none" w:color="FFFFFF" w:sz="0"/>
              <w:bottom w:val="none" w:color="FFFFFF" w:sz="0"/>
              <w:right w:val="none" w:color="FFFFFF" w:sz="0"/>
            </w:tcBorders>
            <w:shd w:fill="185FA5" w:val="clear"/>
            <w:tcMar>
              <w:top w:type="dxa" w:w="120"/>
              <w:left w:type="dxa" w:w="80"/>
              <w:bottom w:type="dxa" w:w="120"/>
              <w:right w:type="dxa" w:w="80"/>
            </w:tcMar>
          </w:tcPr>
          <w:p>
            <w:pPr>
              <w:jc w:val="center"/>
            </w:pPr>
            <w:r>
              <w:rPr>
                <w:rFonts w:ascii="Arial" w:cs="Arial" w:eastAsia="Arial" w:hAnsi="Arial"/>
                <w:b/>
                <w:bCs/>
                <w:color w:val="FFFFFF"/>
                <w:sz w:val="32"/>
                <w:szCs w:val="32"/>
              </w:rPr>
              <w:t xml:space="preserve">6</w:t>
            </w:r>
          </w:p>
        </w:tc>
        <w:tc>
          <w:tcPr>
            <w:tcW w:type="dxa" w:w="8640"/>
            <w:tcBorders>
              <w:top w:val="none" w:color="FFFFFF" w:sz="0"/>
              <w:left w:val="none" w:color="FFFFFF" w:sz="0"/>
              <w:bottom w:val="none" w:color="FFFFFF" w:sz="0"/>
              <w:right w:val="none" w:color="FFFFFF" w:sz="0"/>
            </w:tcBorders>
            <w:shd w:fill="E6F1FB" w:val="clear"/>
            <w:tcMar>
              <w:top w:type="dxa" w:w="120"/>
              <w:left w:type="dxa" w:w="200"/>
              <w:bottom w:type="dxa" w:w="120"/>
              <w:right w:type="dxa" w:w="160"/>
            </w:tcMar>
          </w:tcPr>
          <w:p>
            <w:r>
              <w:rPr>
                <w:rFonts w:ascii="Arial" w:cs="Arial" w:eastAsia="Arial" w:hAnsi="Arial"/>
                <w:b/>
                <w:bCs/>
                <w:color w:val="0d0d1a"/>
                <w:sz w:val="24"/>
                <w:szCs w:val="24"/>
              </w:rPr>
              <w:t xml:space="preserve">Open a Swiss bank account</w:t>
            </w:r>
          </w:p>
          <w:p>
            <w:pPr>
              <w:spacing w:before="40"/>
            </w:pPr>
            <w:r>
              <w:rPr>
                <w:rFonts w:ascii="Arial" w:cs="Arial" w:eastAsia="Arial" w:hAnsi="Arial"/>
                <w:color w:val="555555"/>
                <w:sz w:val="20"/>
                <w:szCs w:val="20"/>
              </w:rPr>
              <w:t xml:space="preserve">As a Swiss resident with a GmbH, the major Swiss banks will open a business account. Neon, UBS, PostFinance, and Hypothekarbank Lenzburg are all accessible. The share capital goes into this account to complete GmbH registration.</w:t>
            </w:r>
          </w:p>
          <w:p>
            <w:pPr>
              <w:spacing w:before="40"/>
            </w:pPr>
            <w:r>
              <w:rPr>
                <w:rFonts w:ascii="Arial" w:cs="Arial" w:eastAsia="Arial" w:hAnsi="Arial"/>
                <w:b/>
                <w:bCs/>
                <w:color w:val="1D9E75"/>
                <w:sz w:val="19"/>
                <w:szCs w:val="19"/>
              </w:rPr>
              <w:t xml:space="preserve">Cost: </w:t>
            </w:r>
            <w:r>
              <w:rPr>
                <w:rFonts w:ascii="Arial" w:cs="Arial" w:eastAsia="Arial" w:hAnsi="Arial"/>
                <w:color w:val="1D9E75"/>
                <w:sz w:val="19"/>
                <w:szCs w:val="19"/>
              </w:rPr>
              <w:t xml:space="preserve">Account opening: CHF 0–200   |   </w:t>
            </w:r>
            <w:r>
              <w:rPr>
                <w:rFonts w:ascii="Arial" w:cs="Arial" w:eastAsia="Arial" w:hAnsi="Arial"/>
                <w:b/>
                <w:bCs/>
                <w:color w:val="534AB7"/>
                <w:sz w:val="19"/>
                <w:szCs w:val="19"/>
              </w:rPr>
              <w:t xml:space="preserve">Time: </w:t>
            </w:r>
            <w:r>
              <w:rPr>
                <w:rFonts w:ascii="Arial" w:cs="Arial" w:eastAsia="Arial" w:hAnsi="Arial"/>
                <w:color w:val="534AB7"/>
                <w:sz w:val="19"/>
                <w:szCs w:val="19"/>
              </w:rPr>
              <w:t xml:space="preserve">1–2 weeks</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8640"/>
      </w:tblGrid>
      <w:tr>
        <w:tc>
          <w:tcPr>
            <w:tcW w:type="dxa" w:w="720"/>
            <w:tcBorders>
              <w:top w:val="none" w:color="FFFFFF" w:sz="0"/>
              <w:left w:val="none" w:color="FFFFFF" w:sz="0"/>
              <w:bottom w:val="none" w:color="FFFFFF" w:sz="0"/>
              <w:right w:val="none" w:color="FFFFFF" w:sz="0"/>
            </w:tcBorders>
            <w:shd w:fill="1D9E75" w:val="clear"/>
            <w:tcMar>
              <w:top w:type="dxa" w:w="120"/>
              <w:left w:type="dxa" w:w="80"/>
              <w:bottom w:type="dxa" w:w="120"/>
              <w:right w:type="dxa" w:w="80"/>
            </w:tcMar>
          </w:tcPr>
          <w:p>
            <w:pPr>
              <w:jc w:val="center"/>
            </w:pPr>
            <w:r>
              <w:rPr>
                <w:rFonts w:ascii="Arial" w:cs="Arial" w:eastAsia="Arial" w:hAnsi="Arial"/>
                <w:b/>
                <w:bCs/>
                <w:color w:val="FFFFFF"/>
                <w:sz w:val="32"/>
                <w:szCs w:val="32"/>
              </w:rPr>
              <w:t xml:space="preserve">7</w:t>
            </w:r>
          </w:p>
        </w:tc>
        <w:tc>
          <w:tcPr>
            <w:tcW w:type="dxa" w:w="864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b/>
                <w:bCs/>
                <w:color w:val="0d0d1a"/>
                <w:sz w:val="24"/>
                <w:szCs w:val="24"/>
              </w:rPr>
              <w:t xml:space="preserve">Apply to FONGIT</w:t>
            </w:r>
          </w:p>
          <w:p>
            <w:pPr>
              <w:spacing w:before="40"/>
            </w:pPr>
            <w:r>
              <w:rPr>
                <w:rFonts w:ascii="Arial" w:cs="Arial" w:eastAsia="Arial" w:hAnsi="Arial"/>
                <w:color w:val="555555"/>
                <w:sz w:val="20"/>
                <w:szCs w:val="20"/>
              </w:rPr>
              <w:t xml:space="preserve">FONGIT (Fondation Genevoise pour l'Innovation Technologique) is the Geneva innovation foundation that funded Proton's early stage. With a Swiss GmbH and Swiss residency, you are a primary target for their privacy-tech grants.</w:t>
            </w:r>
          </w:p>
          <w:p>
            <w:pPr>
              <w:spacing w:before="40"/>
            </w:pPr>
            <w:r>
              <w:rPr>
                <w:rFonts w:ascii="Arial" w:cs="Arial" w:eastAsia="Arial" w:hAnsi="Arial"/>
                <w:b/>
                <w:bCs/>
                <w:color w:val="1D9E75"/>
                <w:sz w:val="19"/>
                <w:szCs w:val="19"/>
              </w:rPr>
              <w:t xml:space="preserve">Cost: </w:t>
            </w:r>
            <w:r>
              <w:rPr>
                <w:rFonts w:ascii="Arial" w:cs="Arial" w:eastAsia="Arial" w:hAnsi="Arial"/>
                <w:color w:val="1D9E75"/>
                <w:sz w:val="19"/>
                <w:szCs w:val="19"/>
              </w:rPr>
              <w:t xml:space="preserve">Grants: CHF 20,000–150,000 non-dilutive   |   </w:t>
            </w:r>
            <w:r>
              <w:rPr>
                <w:rFonts w:ascii="Arial" w:cs="Arial" w:eastAsia="Arial" w:hAnsi="Arial"/>
                <w:b/>
                <w:bCs/>
                <w:color w:val="534AB7"/>
                <w:sz w:val="19"/>
                <w:szCs w:val="19"/>
              </w:rPr>
              <w:t xml:space="preserve">Time: </w:t>
            </w:r>
            <w:r>
              <w:rPr>
                <w:rFonts w:ascii="Arial" w:cs="Arial" w:eastAsia="Arial" w:hAnsi="Arial"/>
                <w:color w:val="534AB7"/>
                <w:sz w:val="19"/>
                <w:szCs w:val="19"/>
              </w:rPr>
              <w:t xml:space="preserve">Application: 4–6 weeks to prepare</w:t>
            </w:r>
          </w:p>
        </w:tc>
      </w:tr>
    </w:tbl>
    <w:p>
      <w:pPr>
        <w:pBdr>
          <w:bottom w:val="single" w:color="1D9E75" w:sz="6" w:space="1"/>
        </w:pBdr>
        <w:spacing w:before="160" w:after="160"/>
      </w:pPr>
      <w:r>
        <w:t xml:space="preserve"/>
      </w:r>
    </w:p>
    <w:p>
      <w:r>
        <w:br w:type="page"/>
      </w:r>
    </w:p>
    <w:p>
      <w:pPr>
        <w:pStyle w:val="Heading1"/>
        <w:spacing w:before="480" w:after="120"/>
      </w:pPr>
      <w:r>
        <w:rPr>
          <w:rFonts w:ascii="Arial" w:cs="Arial" w:eastAsia="Arial" w:hAnsi="Arial"/>
          <w:b/>
          <w:bCs/>
          <w:color w:val="0d0d1a"/>
          <w:sz w:val="40"/>
          <w:szCs w:val="40"/>
        </w:rPr>
        <w:t xml:space="preserve">What Swiss Residency Unlocks for the Project</w:t>
      </w:r>
    </w:p>
    <w:p>
      <w:pPr>
        <w:spacing w:before="60" w:after="100"/>
      </w:pPr>
      <w:r>
        <w:rPr>
          <w:rFonts w:ascii="Arial" w:cs="Arial" w:eastAsia="Arial" w:hAnsi="Arial"/>
          <w:color w:val="333333"/>
          <w:sz w:val="22"/>
          <w:szCs w:val="22"/>
        </w:rPr>
        <w:t>Residency does not just fix a legal technicality. It changes the entire strategic landscape of the Vela Protocol — the developer hub for Velcro Wallet and future related AI and Web3 projects. Here is what becomes possible that is not possible now.</w:t>
      </w:r>
    </w:p>
    <w:p>
      <w:pPr>
        <w:spacing w:before="80" w:after="80"/>
      </w:pPr>
      <w:r>
        <w:t xml:space="preserve"/>
      </w:r>
    </w:p>
    <w:p>
      <w:pPr>
        <w:pStyle w:val="Heading2"/>
        <w:spacing w:before="320" w:after="80"/>
      </w:pPr>
      <w:r>
        <w:rPr>
          <w:rFonts w:ascii="Arial" w:cs="Arial" w:eastAsia="Arial" w:hAnsi="Arial"/>
          <w:b/>
          <w:bCs/>
          <w:color w:val="1D9E75"/>
          <w:sz w:val="28"/>
          <w:szCs w:val="28"/>
        </w:rPr>
        <w:t xml:space="preserve">1. The Swiss GmbH — immediate</w:t>
      </w:r>
    </w:p>
    <w:p>
      <w:pPr>
        <w:spacing w:before="60" w:after="100"/>
      </w:pPr>
      <w:r>
        <w:rPr>
          <w:rFonts w:ascii="Arial" w:cs="Arial" w:eastAsia="Arial" w:hAnsi="Arial"/>
          <w:color w:val="333333"/>
          <w:sz w:val="22"/>
          <w:szCs w:val="22"/>
        </w:rPr>
        <w:t xml:space="preserve">You become the managing director of your own Swiss GmbH the moment you have a Swiss address. No nominee. No fiduciary fees of CHF 1,500–2,500 per year. No trust relationship required with a stranger. You own it directly. It is registered in your commune's canton. It is Swiss.</w:t>
      </w:r>
    </w:p>
    <w:p>
      <w:pPr>
        <w:pStyle w:val="ListParagraph"/>
        <w:numPr>
          <w:ilvl w:val="0"/>
          <w:numId w:val="2"/>
        </w:numPr>
        <w:spacing w:before="40" w:after="40"/>
      </w:pPr>
      <w:r>
        <w:rPr>
          <w:rFonts w:ascii="Arial" w:cs="Arial" w:eastAsia="Arial" w:hAnsi="Arial"/>
          <w:color w:val="333333"/>
          <w:sz w:val="22"/>
          <w:szCs w:val="22"/>
        </w:rPr>
        <w:t xml:space="preserve">GmbH registration cost: CHF 1,500–2,500 in notary fees</w:t>
      </w:r>
    </w:p>
    <w:p>
      <w:pPr>
        <w:pStyle w:val="ListParagraph"/>
        <w:numPr>
          <w:ilvl w:val="0"/>
          <w:numId w:val="2"/>
        </w:numPr>
        <w:spacing w:before="40" w:after="40"/>
      </w:pPr>
      <w:r>
        <w:rPr>
          <w:rFonts w:ascii="Arial" w:cs="Arial" w:eastAsia="Arial" w:hAnsi="Arial"/>
          <w:color w:val="333333"/>
          <w:sz w:val="22"/>
          <w:szCs w:val="22"/>
        </w:rPr>
        <w:t xml:space="preserve">Share capital: CHF 20,000 minimum, held in the company account (your money, not spent)</w:t>
      </w:r>
    </w:p>
    <w:p>
      <w:pPr>
        <w:pStyle w:val="ListParagraph"/>
        <w:numPr>
          <w:ilvl w:val="0"/>
          <w:numId w:val="2"/>
        </w:numPr>
        <w:spacing w:before="40" w:after="40"/>
      </w:pPr>
      <w:r>
        <w:rPr>
          <w:rFonts w:ascii="Arial" w:cs="Arial" w:eastAsia="Arial" w:hAnsi="Arial"/>
          <w:color w:val="333333"/>
          <w:sz w:val="22"/>
          <w:szCs w:val="22"/>
        </w:rPr>
        <w:t xml:space="preserve">Annual cost: CHF 500–1,000 for accounting, no ongoing nominee fees</w:t>
      </w:r>
    </w:p>
    <w:p>
      <w:pPr>
        <w:pStyle w:val="ListParagraph"/>
        <w:numPr>
          <w:ilvl w:val="0"/>
          <w:numId w:val="2"/>
        </w:numPr>
        <w:spacing w:before="40" w:after="40"/>
      </w:pPr>
      <w:r>
        <w:rPr>
          <w:rFonts w:ascii="Arial" w:cs="Arial" w:eastAsia="Arial" w:hAnsi="Arial"/>
          <w:color w:val="333333"/>
          <w:sz w:val="22"/>
          <w:szCs w:val="22"/>
        </w:rPr>
        <w:t xml:space="preserve">Canton selection: Zug (lowest corporate tax, ~12%), Geneva (Proton proximity), Zurich (largest ecosystem)</w:t>
      </w:r>
    </w:p>
    <w:p>
      <w:pPr>
        <w:spacing w:before="80" w:after="80"/>
      </w:pPr>
      <w:r>
        <w:t xml:space="preserve"/>
      </w:r>
    </w:p>
    <w:p>
      <w:pPr>
        <w:pStyle w:val="Heading2"/>
        <w:spacing w:before="320" w:after="80"/>
      </w:pPr>
      <w:r>
        <w:rPr>
          <w:rFonts w:ascii="Arial" w:cs="Arial" w:eastAsia="Arial" w:hAnsi="Arial"/>
          <w:b/>
          <w:bCs/>
          <w:color w:val="1D9E75"/>
          <w:sz w:val="28"/>
          <w:szCs w:val="28"/>
        </w:rPr>
        <w:t xml:space="preserve">2. Swiss banking — full access</w:t>
      </w:r>
    </w:p>
    <w:p>
      <w:pPr>
        <w:spacing w:before="60" w:after="100"/>
      </w:pPr>
      <w:r>
        <w:rPr>
          <w:rFonts w:ascii="Arial" w:cs="Arial" w:eastAsia="Arial" w:hAnsi="Arial"/>
          <w:color w:val="333333"/>
          <w:sz w:val="22"/>
          <w:szCs w:val="22"/>
        </w:rPr>
        <w:t xml:space="preserve">A Swiss GmbH with a Swiss-resident director opens accounts at any Swiss bank. This includes crypto-friendly banks that matter for the wallet product.</w:t>
      </w:r>
    </w:p>
    <w:p>
      <w:pPr>
        <w:pStyle w:val="ListParagraph"/>
        <w:numPr>
          <w:ilvl w:val="0"/>
          <w:numId w:val="2"/>
        </w:numPr>
        <w:spacing w:before="40" w:after="40"/>
      </w:pPr>
      <w:r>
        <w:rPr>
          <w:rFonts w:ascii="Arial" w:cs="Arial" w:eastAsia="Arial" w:hAnsi="Arial"/>
          <w:color w:val="333333"/>
          <w:sz w:val="22"/>
          <w:szCs w:val="22"/>
        </w:rPr>
        <w:t xml:space="preserve">Neon Business: digital-first, low fees, good for everyday operations</w:t>
      </w:r>
    </w:p>
    <w:p>
      <w:pPr>
        <w:pStyle w:val="ListParagraph"/>
        <w:numPr>
          <w:ilvl w:val="0"/>
          <w:numId w:val="2"/>
        </w:numPr>
        <w:spacing w:before="40" w:after="40"/>
      </w:pPr>
      <w:r>
        <w:rPr>
          <w:rFonts w:ascii="Arial" w:cs="Arial" w:eastAsia="Arial" w:hAnsi="Arial"/>
          <w:color w:val="333333"/>
          <w:sz w:val="22"/>
          <w:szCs w:val="22"/>
        </w:rPr>
        <w:t xml:space="preserve">Hypothekarbank Lenzburg: the only Swiss bank that openly accepts crypto companies as clients</w:t>
      </w:r>
    </w:p>
    <w:p>
      <w:pPr>
        <w:pStyle w:val="ListParagraph"/>
        <w:numPr>
          <w:ilvl w:val="0"/>
          <w:numId w:val="2"/>
        </w:numPr>
        <w:spacing w:before="40" w:after="40"/>
      </w:pPr>
      <w:r>
        <w:rPr>
          <w:rFonts w:ascii="Arial" w:cs="Arial" w:eastAsia="Arial" w:hAnsi="Arial"/>
          <w:color w:val="333333"/>
          <w:sz w:val="22"/>
          <w:szCs w:val="22"/>
        </w:rPr>
        <w:t xml:space="preserve">Bank Frick (Liechtenstein, 20 minutes from Switzerland): strongest crypto banking in the region</w:t>
      </w:r>
    </w:p>
    <w:p>
      <w:pPr>
        <w:pStyle w:val="ListParagraph"/>
        <w:numPr>
          <w:ilvl w:val="0"/>
          <w:numId w:val="2"/>
        </w:numPr>
        <w:spacing w:before="40" w:after="40"/>
      </w:pPr>
      <w:r>
        <w:rPr>
          <w:rFonts w:ascii="Arial" w:cs="Arial" w:eastAsia="Arial" w:hAnsi="Arial"/>
          <w:color w:val="333333"/>
          <w:sz w:val="22"/>
          <w:szCs w:val="22"/>
        </w:rPr>
        <w:t xml:space="preserve">PostFinance: the Swiss postal bank, universally accepted, easy to open</w:t>
      </w:r>
    </w:p>
    <w:p>
      <w:pPr>
        <w:pStyle w:val="ListParagraph"/>
        <w:numPr>
          <w:ilvl w:val="0"/>
          <w:numId w:val="2"/>
        </w:numPr>
        <w:spacing w:before="40" w:after="40"/>
      </w:pPr>
      <w:r>
        <w:rPr>
          <w:rFonts w:ascii="Arial" w:cs="Arial" w:eastAsia="Arial" w:hAnsi="Arial"/>
          <w:color w:val="333333"/>
          <w:sz w:val="22"/>
          <w:szCs w:val="22"/>
        </w:rPr>
        <w:t xml:space="preserve">UBS/Credit Suisse (now UBS): traditional, for credibility with institutional partners</w:t>
      </w:r>
    </w:p>
    <w:p>
      <w:pPr>
        <w:spacing w:before="80" w:after="80"/>
      </w:pPr>
      <w:r>
        <w:t xml:space="preserve"/>
      </w:r>
    </w:p>
    <w:p>
      <w:pPr>
        <w:pStyle w:val="Heading2"/>
        <w:spacing w:before="320" w:after="80"/>
      </w:pPr>
      <w:r>
        <w:rPr>
          <w:rFonts w:ascii="Arial" w:cs="Arial" w:eastAsia="Arial" w:hAnsi="Arial"/>
          <w:b/>
          <w:bCs/>
          <w:color w:val="1D9E75"/>
          <w:sz w:val="28"/>
          <w:szCs w:val="28"/>
        </w:rPr>
        <w:t xml:space="preserve">3. FONGIT — direct access</w:t>
      </w:r>
    </w:p>
    <w:p>
      <w:pPr>
        <w:spacing w:before="60" w:after="100"/>
      </w:pPr>
      <w:r>
        <w:rPr>
          <w:rFonts w:ascii="Arial" w:cs="Arial" w:eastAsia="Arial" w:hAnsi="Arial"/>
          <w:color w:val="333333"/>
          <w:sz w:val="22"/>
          <w:szCs w:val="22"/>
        </w:rPr>
        <w:t xml:space="preserve">FONGIT (Fondation Genevoise pour l'Innovation Technologique) is the Geneva innovation foundation that has funded Proton, CERN spinoffs, and privacy-tech startups. Swiss residency is not strictly required but Geneva residency or a Geneva-domiciled GmbH is strongly preferred. They funded Proton's early stage precisely because Proton was a Swiss project with a Swiss founder building in Geneva.</w:t>
      </w:r>
    </w:p>
    <w:p>
      <w:pPr>
        <w:pStyle w:val="ListParagraph"/>
        <w:numPr>
          <w:ilvl w:val="0"/>
          <w:numId w:val="2"/>
        </w:numPr>
        <w:spacing w:before="40" w:after="40"/>
      </w:pPr>
      <w:r>
        <w:rPr>
          <w:rFonts w:ascii="Arial" w:cs="Arial" w:eastAsia="Arial" w:hAnsi="Arial"/>
          <w:color w:val="333333"/>
          <w:sz w:val="22"/>
          <w:szCs w:val="22"/>
        </w:rPr>
        <w:t xml:space="preserve">Grants of CHF 20,000–150,000, non-dilutive (not equity, not debt)</w:t>
      </w:r>
    </w:p>
    <w:p>
      <w:pPr>
        <w:pStyle w:val="ListParagraph"/>
        <w:numPr>
          <w:ilvl w:val="0"/>
          <w:numId w:val="2"/>
        </w:numPr>
        <w:spacing w:before="40" w:after="40"/>
      </w:pPr>
      <w:r>
        <w:rPr>
          <w:rFonts w:ascii="Arial" w:cs="Arial" w:eastAsia="Arial" w:hAnsi="Arial"/>
          <w:color w:val="333333"/>
          <w:sz w:val="22"/>
          <w:szCs w:val="22"/>
        </w:rPr>
        <w:t xml:space="preserve">Application requires: business plan, prototype, Swiss entity, founder profile</w:t>
      </w:r>
    </w:p>
    <w:p>
      <w:pPr>
        <w:pStyle w:val="ListParagraph"/>
        <w:numPr>
          <w:ilvl w:val="0"/>
          <w:numId w:val="2"/>
        </w:numPr>
        <w:spacing w:before="40" w:after="40"/>
      </w:pPr>
      <w:r>
        <w:rPr>
          <w:rFonts w:ascii="Arial" w:cs="Arial" w:eastAsia="Arial" w:hAnsi="Arial"/>
          <w:color w:val="333333"/>
          <w:sz w:val="22"/>
          <w:szCs w:val="22"/>
        </w:rPr>
        <w:t>With a working search engine, Vela Protocol website, and the Vela Protocol charter, you have a compelling application</w:t>
      </w:r>
    </w:p>
    <w:p>
      <w:pPr>
        <w:pStyle w:val="ListParagraph"/>
        <w:numPr>
          <w:ilvl w:val="0"/>
          <w:numId w:val="2"/>
        </w:numPr>
        <w:spacing w:before="40" w:after="40"/>
      </w:pPr>
      <w:r>
        <w:rPr>
          <w:rFonts w:ascii="Arial" w:cs="Arial" w:eastAsia="Arial" w:hAnsi="Arial"/>
          <w:color w:val="333333"/>
          <w:sz w:val="22"/>
          <w:szCs w:val="22"/>
        </w:rPr>
        <w:t xml:space="preserve">The Swiss citizenship + Geneva GmbH combination is the strongest possible profile for FONGIT</w:t>
      </w:r>
    </w:p>
    <w:p>
      <w:pPr>
        <w:spacing w:before="80" w:after="80"/>
      </w:pPr>
      <w:r>
        <w:t xml:space="preserve"/>
      </w:r>
    </w:p>
    <w:p>
      <w:pPr>
        <w:pStyle w:val="Heading2"/>
        <w:spacing w:before="320" w:after="80"/>
      </w:pPr>
      <w:r>
        <w:rPr>
          <w:rFonts w:ascii="Arial" w:cs="Arial" w:eastAsia="Arial" w:hAnsi="Arial"/>
          <w:b/>
          <w:bCs/>
          <w:color w:val="1D9E75"/>
          <w:sz w:val="28"/>
          <w:szCs w:val="28"/>
        </w:rPr>
        <w:t xml:space="preserve">4. Innosuisse — national innovation funding</w:t>
      </w:r>
    </w:p>
    <w:p>
      <w:pPr>
        <w:spacing w:before="60" w:after="100"/>
      </w:pPr>
      <w:r>
        <w:rPr>
          <w:rFonts w:ascii="Arial" w:cs="Arial" w:eastAsia="Arial" w:hAnsi="Arial"/>
          <w:color w:val="333333"/>
          <w:sz w:val="22"/>
          <w:szCs w:val="22"/>
        </w:rPr>
        <w:t xml:space="preserve">Innosuisse is Switzerland's national innovation agency, federal-level funding for technology projects. It requires a Swiss company and typically a research partner (often a Swiss university). With a Geneva GmbH and proximity to EPFL (Lausanne) or UNIGE (Geneva), research partnerships are possible.</w:t>
      </w:r>
    </w:p>
    <w:p>
      <w:pPr>
        <w:pStyle w:val="ListParagraph"/>
        <w:numPr>
          <w:ilvl w:val="0"/>
          <w:numId w:val="2"/>
        </w:numPr>
        <w:spacing w:before="40" w:after="40"/>
      </w:pPr>
      <w:r>
        <w:rPr>
          <w:rFonts w:ascii="Arial" w:cs="Arial" w:eastAsia="Arial" w:hAnsi="Arial"/>
          <w:color w:val="333333"/>
          <w:sz w:val="22"/>
          <w:szCs w:val="22"/>
        </w:rPr>
        <w:t xml:space="preserve">Grants of CHF 50,000–500,000 for innovation projects with a research component</w:t>
      </w:r>
    </w:p>
    <w:p>
      <w:pPr>
        <w:pStyle w:val="ListParagraph"/>
        <w:numPr>
          <w:ilvl w:val="0"/>
          <w:numId w:val="2"/>
        </w:numPr>
        <w:spacing w:before="40" w:after="40"/>
      </w:pPr>
      <w:r>
        <w:rPr>
          <w:rFonts w:ascii="Arial" w:cs="Arial" w:eastAsia="Arial" w:hAnsi="Arial"/>
          <w:color w:val="333333"/>
          <w:sz w:val="22"/>
          <w:szCs w:val="22"/>
        </w:rPr>
        <w:t xml:space="preserve">The privacy web + AI search combination qualifies as an innovation project</w:t>
      </w:r>
    </w:p>
    <w:p>
      <w:pPr>
        <w:pStyle w:val="ListParagraph"/>
        <w:numPr>
          <w:ilvl w:val="0"/>
          <w:numId w:val="2"/>
        </w:numPr>
        <w:spacing w:before="40" w:after="40"/>
      </w:pPr>
      <w:r>
        <w:rPr>
          <w:rFonts w:ascii="Arial" w:cs="Arial" w:eastAsia="Arial" w:hAnsi="Arial"/>
          <w:color w:val="333333"/>
          <w:sz w:val="22"/>
          <w:szCs w:val="22"/>
        </w:rPr>
        <w:t xml:space="preserve">EPFL has a strong privacy research lab that could be the academic partner</w:t>
      </w:r>
    </w:p>
    <w:p>
      <w:pPr>
        <w:pStyle w:val="ListParagraph"/>
        <w:numPr>
          <w:ilvl w:val="0"/>
          <w:numId w:val="2"/>
        </w:numPr>
        <w:spacing w:before="40" w:after="40"/>
      </w:pPr>
      <w:r>
        <w:rPr>
          <w:rFonts w:ascii="Arial" w:cs="Arial" w:eastAsia="Arial" w:hAnsi="Arial"/>
          <w:color w:val="333333"/>
          <w:sz w:val="22"/>
          <w:szCs w:val="22"/>
        </w:rPr>
        <w:t xml:space="preserve">Timeline: 3–6 months application process, best started after search engine is live</w:t>
      </w:r>
    </w:p>
    <w:p>
      <w:pPr>
        <w:spacing w:before="80" w:after="80"/>
      </w:pPr>
      <w:r>
        <w:t xml:space="preserve"/>
      </w:r>
    </w:p>
    <w:p>
      <w:pPr>
        <w:pStyle w:val="Heading2"/>
        <w:spacing w:before="320" w:after="80"/>
      </w:pPr>
      <w:r>
        <w:rPr>
          <w:rFonts w:ascii="Arial" w:cs="Arial" w:eastAsia="Arial" w:hAnsi="Arial"/>
          <w:b/>
          <w:bCs/>
          <w:color w:val="1D9E75"/>
          <w:sz w:val="28"/>
          <w:szCs w:val="28"/>
        </w:rPr>
        <w:t xml:space="preserve">5. Proton — peer conversation, not cold pitch</w:t>
      </w:r>
    </w:p>
    <w:p>
      <w:pPr>
        <w:spacing w:before="60" w:after="100"/>
      </w:pPr>
      <w:r>
        <w:rPr>
          <w:rFonts w:ascii="Arial" w:cs="Arial" w:eastAsia="Arial" w:hAnsi="Arial"/>
          <w:color w:val="333333"/>
          <w:sz w:val="22"/>
          <w:szCs w:val="22"/>
        </w:rPr>
        <w:t xml:space="preserve">This is the most important unlock. Andy Yen built Proton in Geneva because of Switzerland's privacy laws and because he was connected to the CERN and Swiss science community. When you walk into a Proton conversation as a Swiss-citizen founder, living in Switzerland, running a Swiss GmbH, applying to FONGIT, building on the same values — you are not pitching a foreign startup. You are a peer in the same ecosystem.</w:t>
      </w:r>
    </w:p>
    <w:p>
      <w:pPr>
        <w:pStyle w:val="ListParagraph"/>
        <w:numPr>
          <w:ilvl w:val="0"/>
          <w:numId w:val="2"/>
        </w:numPr>
        <w:spacing w:before="40" w:after="40"/>
      </w:pPr>
      <w:r>
        <w:rPr>
          <w:rFonts w:ascii="Arial" w:cs="Arial" w:eastAsia="Arial" w:hAnsi="Arial"/>
          <w:color w:val="333333"/>
          <w:sz w:val="22"/>
          <w:szCs w:val="22"/>
        </w:rPr>
        <w:t xml:space="preserve">A Geneva GmbH with the same canton domicile as Proton is a deliberate signal</w:t>
      </w:r>
    </w:p>
    <w:p>
      <w:pPr>
        <w:pStyle w:val="ListParagraph"/>
        <w:numPr>
          <w:ilvl w:val="0"/>
          <w:numId w:val="2"/>
        </w:numPr>
        <w:spacing w:before="40" w:after="40"/>
      </w:pPr>
      <w:r>
        <w:rPr>
          <w:rFonts w:ascii="Arial" w:cs="Arial" w:eastAsia="Arial" w:hAnsi="Arial"/>
          <w:color w:val="333333"/>
          <w:sz w:val="22"/>
          <w:szCs w:val="22"/>
        </w:rPr>
        <w:t>FONGIT funded Proton. FONGIT interest in Vela Protocol opens the door to Proton introductions</w:t>
      </w:r>
    </w:p>
    <w:p>
      <w:pPr>
        <w:pStyle w:val="ListParagraph"/>
        <w:numPr>
          <w:ilvl w:val="0"/>
          <w:numId w:val="2"/>
        </w:numPr>
        <w:spacing w:before="40" w:after="40"/>
      </w:pPr>
      <w:r>
        <w:rPr>
          <w:rFonts w:ascii="Arial" w:cs="Arial" w:eastAsia="Arial" w:hAnsi="Arial"/>
          <w:color w:val="333333"/>
          <w:sz w:val="22"/>
          <w:szCs w:val="22"/>
        </w:rPr>
        <w:t xml:space="preserve">The Swiss tech community is small. A warm introduction from one person is worth more than a cold pitch to ten</w:t>
      </w:r>
    </w:p>
    <w:p>
      <w:pPr>
        <w:pStyle w:val="ListParagraph"/>
        <w:numPr>
          <w:ilvl w:val="0"/>
          <w:numId w:val="2"/>
        </w:numPr>
        <w:spacing w:before="40" w:after="40"/>
      </w:pPr>
      <w:r>
        <w:rPr>
          <w:rFonts w:ascii="Arial" w:cs="Arial" w:eastAsia="Arial" w:hAnsi="Arial"/>
          <w:color w:val="333333"/>
          <w:sz w:val="22"/>
          <w:szCs w:val="22"/>
        </w:rPr>
        <w:t xml:space="preserve">Swiss residency lets you attend Swiss tech events, privacy conferences, and Geneva startup circles</w:t>
      </w:r>
    </w:p>
    <w:p>
      <w:pPr>
        <w:pBdr>
          <w:bottom w:val="single" w:color="1D9E75" w:sz="6" w:space="1"/>
        </w:pBdr>
        <w:spacing w:before="160" w:after="160"/>
      </w:pPr>
      <w:r>
        <w:t xml:space="preserve"/>
      </w:r>
    </w:p>
    <w:p>
      <w:r>
        <w:br w:type="page"/>
      </w:r>
    </w:p>
    <w:p>
      <w:pPr>
        <w:pStyle w:val="Heading1"/>
        <w:spacing w:before="480" w:after="120"/>
      </w:pPr>
      <w:r>
        <w:rPr>
          <w:rFonts w:ascii="Arial" w:cs="Arial" w:eastAsia="Arial" w:hAnsi="Arial"/>
          <w:b/>
          <w:bCs/>
          <w:color w:val="0d0d1a"/>
          <w:sz w:val="40"/>
          <w:szCs w:val="40"/>
        </w:rPr>
        <w:t xml:space="preserve">Choosing the Right Canton</w:t>
      </w:r>
    </w:p>
    <w:p>
      <w:pPr>
        <w:spacing w:before="60" w:after="100"/>
      </w:pPr>
      <w:r>
        <w:rPr>
          <w:rFonts w:ascii="Arial" w:cs="Arial" w:eastAsia="Arial" w:hAnsi="Arial"/>
          <w:color w:val="333333"/>
          <w:sz w:val="22"/>
          <w:szCs w:val="22"/>
        </w:rPr>
        <w:t xml:space="preserve">Switzerland has 26 cantons. Tax rates, business culture, and strategic networks vary significantly. For this project, three cantons are worth considering seriously.</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1800"/>
        <w:gridCol w:w="1800"/>
        <w:gridCol w:w="2160"/>
        <w:gridCol w:w="2160"/>
      </w:tblGrid>
      <w:tr>
        <w:tc>
          <w:tcPr>
            <w:tcW w:type="dxa" w:w="1440"/>
            <w:tcBorders>
              <w:top w:val="single" w:color="DDDDDD" w:sz="1"/>
              <w:left w:val="single" w:color="DDDDDD" w:sz="1"/>
              <w:bottom w:val="single" w:color="DDDDDD" w:sz="1"/>
              <w:right w:val="single" w:color="DDDDDD" w:sz="1"/>
            </w:tcBorders>
            <w:shd w:fill="0d0d1a" w:val="clear"/>
            <w:tcMar>
              <w:top w:type="dxa" w:w="80"/>
              <w:left w:type="dxa" w:w="100"/>
              <w:bottom w:type="dxa" w:w="80"/>
              <w:right w:type="dxa" w:w="100"/>
            </w:tcMar>
          </w:tcPr>
          <w:p>
            <w:r>
              <w:rPr>
                <w:rFonts w:ascii="Arial" w:cs="Arial" w:eastAsia="Arial" w:hAnsi="Arial"/>
                <w:b/>
                <w:bCs/>
                <w:color w:val="FFFFFF"/>
                <w:sz w:val="18"/>
                <w:szCs w:val="18"/>
              </w:rPr>
              <w:t xml:space="preserve">Canton</w:t>
            </w:r>
          </w:p>
        </w:tc>
        <w:tc>
          <w:tcPr>
            <w:tcW w:type="dxa" w:w="1800"/>
            <w:tcBorders>
              <w:top w:val="single" w:color="DDDDDD" w:sz="1"/>
              <w:left w:val="single" w:color="DDDDDD" w:sz="1"/>
              <w:bottom w:val="single" w:color="DDDDDD" w:sz="1"/>
              <w:right w:val="single" w:color="DDDDDD" w:sz="1"/>
            </w:tcBorders>
            <w:shd w:fill="0d0d1a" w:val="clear"/>
            <w:tcMar>
              <w:top w:type="dxa" w:w="80"/>
              <w:left w:type="dxa" w:w="100"/>
              <w:bottom w:type="dxa" w:w="80"/>
              <w:right w:type="dxa" w:w="100"/>
            </w:tcMar>
          </w:tcPr>
          <w:p>
            <w:r>
              <w:rPr>
                <w:rFonts w:ascii="Arial" w:cs="Arial" w:eastAsia="Arial" w:hAnsi="Arial"/>
                <w:b/>
                <w:bCs/>
                <w:color w:val="FFFFFF"/>
                <w:sz w:val="18"/>
                <w:szCs w:val="18"/>
              </w:rPr>
              <w:t xml:space="preserve">Corp. tax rate</w:t>
            </w:r>
          </w:p>
        </w:tc>
        <w:tc>
          <w:tcPr>
            <w:tcW w:type="dxa" w:w="1800"/>
            <w:tcBorders>
              <w:top w:val="single" w:color="DDDDDD" w:sz="1"/>
              <w:left w:val="single" w:color="DDDDDD" w:sz="1"/>
              <w:bottom w:val="single" w:color="DDDDDD" w:sz="1"/>
              <w:right w:val="single" w:color="DDDDDD" w:sz="1"/>
            </w:tcBorders>
            <w:shd w:fill="0d0d1a" w:val="clear"/>
            <w:tcMar>
              <w:top w:type="dxa" w:w="80"/>
              <w:left w:type="dxa" w:w="100"/>
              <w:bottom w:type="dxa" w:w="80"/>
              <w:right w:type="dxa" w:w="100"/>
            </w:tcMar>
          </w:tcPr>
          <w:p>
            <w:r>
              <w:rPr>
                <w:rFonts w:ascii="Arial" w:cs="Arial" w:eastAsia="Arial" w:hAnsi="Arial"/>
                <w:b/>
                <w:bCs/>
                <w:color w:val="FFFFFF"/>
                <w:sz w:val="18"/>
                <w:szCs w:val="18"/>
              </w:rPr>
              <w:t xml:space="preserve">Cost of living</w:t>
            </w:r>
          </w:p>
        </w:tc>
        <w:tc>
          <w:tcPr>
            <w:tcW w:type="dxa" w:w="2160"/>
            <w:tcBorders>
              <w:top w:val="single" w:color="DDDDDD" w:sz="1"/>
              <w:left w:val="single" w:color="DDDDDD" w:sz="1"/>
              <w:bottom w:val="single" w:color="DDDDDD" w:sz="1"/>
              <w:right w:val="single" w:color="DDDDDD" w:sz="1"/>
            </w:tcBorders>
            <w:shd w:fill="0d0d1a" w:val="clear"/>
            <w:tcMar>
              <w:top w:type="dxa" w:w="80"/>
              <w:left w:type="dxa" w:w="100"/>
              <w:bottom w:type="dxa" w:w="80"/>
              <w:right w:type="dxa" w:w="100"/>
            </w:tcMar>
          </w:tcPr>
          <w:p>
            <w:r>
              <w:rPr>
                <w:rFonts w:ascii="Arial" w:cs="Arial" w:eastAsia="Arial" w:hAnsi="Arial"/>
                <w:b/>
                <w:bCs/>
                <w:color w:val="FFFFFF"/>
                <w:sz w:val="18"/>
                <w:szCs w:val="18"/>
              </w:rPr>
              <w:t xml:space="preserve">Strategic advantage</w:t>
            </w:r>
          </w:p>
        </w:tc>
        <w:tc>
          <w:tcPr>
            <w:tcW w:type="dxa" w:w="2160"/>
            <w:tcBorders>
              <w:top w:val="single" w:color="DDDDDD" w:sz="1"/>
              <w:left w:val="single" w:color="DDDDDD" w:sz="1"/>
              <w:bottom w:val="single" w:color="DDDDDD" w:sz="1"/>
              <w:right w:val="single" w:color="DDDDDD" w:sz="1"/>
            </w:tcBorders>
            <w:shd w:fill="0d0d1a" w:val="clear"/>
            <w:tcMar>
              <w:top w:type="dxa" w:w="80"/>
              <w:left w:type="dxa" w:w="100"/>
              <w:bottom w:type="dxa" w:w="80"/>
              <w:right w:type="dxa" w:w="100"/>
            </w:tcMar>
          </w:tcPr>
          <w:p>
            <w:r>
              <w:rPr>
                <w:rFonts w:ascii="Arial" w:cs="Arial" w:eastAsia="Arial" w:hAnsi="Arial"/>
                <w:b/>
                <w:bCs/>
                <w:color w:val="FFFFFF"/>
                <w:sz w:val="18"/>
                <w:szCs w:val="18"/>
              </w:rPr>
              <w:t>Best for Vela Protocol if...</w:t>
            </w:r>
          </w:p>
        </w:tc>
      </w:tr>
      <w:tr>
        <w:tc>
          <w:tcPr>
            <w:tcW w:type="dxa" w:w="1440"/>
            <w:tcBorders>
              <w:top w:val="single" w:color="DDDDDD" w:sz="1"/>
              <w:left w:val="single" w:color="DDDDDD" w:sz="1"/>
              <w:bottom w:val="single" w:color="DDDDDD" w:sz="1"/>
              <w:right w:val="single" w:color="DDDDDD" w:sz="1"/>
            </w:tcBorders>
            <w:shd w:fill="FFFFFF" w:val="clear"/>
            <w:tcMar>
              <w:top w:type="dxa" w:w="80"/>
              <w:left w:type="dxa" w:w="100"/>
              <w:bottom w:type="dxa" w:w="80"/>
              <w:right w:type="dxa" w:w="100"/>
            </w:tcMar>
          </w:tcPr>
          <w:p>
            <w:r>
              <w:rPr>
                <w:rFonts w:ascii="Arial" w:cs="Arial" w:eastAsia="Arial" w:hAnsi="Arial"/>
                <w:b/>
                <w:bCs/>
                <w:color w:val="534AB7"/>
                <w:sz w:val="19"/>
                <w:szCs w:val="19"/>
              </w:rPr>
              <w:t xml:space="preserve">Geneva</w:t>
            </w:r>
          </w:p>
        </w:tc>
        <w:tc>
          <w:tcPr>
            <w:tcW w:type="dxa" w:w="1800"/>
            <w:tcBorders>
              <w:top w:val="single" w:color="DDDDDD" w:sz="1"/>
              <w:left w:val="single" w:color="DDDDDD" w:sz="1"/>
              <w:bottom w:val="single" w:color="DDDDDD" w:sz="1"/>
              <w:right w:val="single" w:color="DDDDDD" w:sz="1"/>
            </w:tcBorders>
            <w:shd w:fill="FFFFFF" w:val="clear"/>
            <w:tcMar>
              <w:top w:type="dxa" w:w="80"/>
              <w:left w:type="dxa" w:w="100"/>
              <w:bottom w:type="dxa" w:w="80"/>
              <w:right w:type="dxa" w:w="100"/>
            </w:tcMar>
          </w:tcPr>
          <w:p>
            <w:r>
              <w:rPr>
                <w:rFonts w:ascii="Arial" w:cs="Arial" w:eastAsia="Arial" w:hAnsi="Arial"/>
                <w:color w:val="1D9E75"/>
                <w:sz w:val="19"/>
                <w:szCs w:val="19"/>
              </w:rPr>
              <w:t xml:space="preserve">~14%</w:t>
            </w:r>
          </w:p>
        </w:tc>
        <w:tc>
          <w:tcPr>
            <w:tcW w:type="dxa" w:w="1800"/>
            <w:tcBorders>
              <w:top w:val="single" w:color="DDDDDD" w:sz="1"/>
              <w:left w:val="single" w:color="DDDDDD" w:sz="1"/>
              <w:bottom w:val="single" w:color="DDDDDD" w:sz="1"/>
              <w:right w:val="single" w:color="DDDDDD" w:sz="1"/>
            </w:tcBorders>
            <w:shd w:fill="FFFFFF" w:val="clear"/>
            <w:tcMar>
              <w:top w:type="dxa" w:w="80"/>
              <w:left w:type="dxa" w:w="100"/>
              <w:bottom w:type="dxa" w:w="80"/>
              <w:right w:type="dxa" w:w="100"/>
            </w:tcMar>
          </w:tcPr>
          <w:p>
            <w:r>
              <w:rPr>
                <w:rFonts w:ascii="Arial" w:cs="Arial" w:eastAsia="Arial" w:hAnsi="Arial"/>
                <w:color w:val="555555"/>
                <w:sz w:val="19"/>
                <w:szCs w:val="19"/>
              </w:rPr>
              <w:t xml:space="preserve">High</w:t>
            </w:r>
          </w:p>
          <w:p>
            <w:r>
              <w:rPr>
                <w:rFonts w:ascii="Arial" w:cs="Arial" w:eastAsia="Arial" w:hAnsi="Arial"/>
                <w:color w:val="555555"/>
                <w:sz w:val="19"/>
                <w:szCs w:val="19"/>
              </w:rPr>
              <w:t xml:space="preserve">(CHF 2,000+/mo)</w:t>
            </w:r>
          </w:p>
        </w:tc>
        <w:tc>
          <w:tcPr>
            <w:tcW w:type="dxa" w:w="2160"/>
            <w:tcBorders>
              <w:top w:val="single" w:color="DDDDDD" w:sz="1"/>
              <w:left w:val="single" w:color="DDDDDD" w:sz="1"/>
              <w:bottom w:val="single" w:color="DDDDDD" w:sz="1"/>
              <w:right w:val="single" w:color="DDDDDD" w:sz="1"/>
            </w:tcBorders>
            <w:shd w:fill="FFFFFF" w:val="clear"/>
            <w:tcMar>
              <w:top w:type="dxa" w:w="80"/>
              <w:left w:type="dxa" w:w="100"/>
              <w:bottom w:type="dxa" w:w="80"/>
              <w:right w:type="dxa" w:w="100"/>
            </w:tcMar>
          </w:tcPr>
          <w:p>
            <w:r>
              <w:rPr>
                <w:rFonts w:ascii="Arial" w:cs="Arial" w:eastAsia="Arial" w:hAnsi="Arial"/>
                <w:color w:val="333333"/>
                <w:sz w:val="18"/>
                <w:szCs w:val="18"/>
              </w:rPr>
              <w:t xml:space="preserve">Proton HQ, CERN, FONGIT, French-speaking, EU border</w:t>
            </w:r>
          </w:p>
        </w:tc>
        <w:tc>
          <w:tcPr>
            <w:tcW w:type="dxa" w:w="2160"/>
            <w:tcBorders>
              <w:top w:val="single" w:color="DDDDDD" w:sz="1"/>
              <w:left w:val="single" w:color="DDDDDD" w:sz="1"/>
              <w:bottom w:val="single" w:color="DDDDDD" w:sz="1"/>
              <w:right w:val="single" w:color="DDDDDD" w:sz="1"/>
            </w:tcBorders>
            <w:shd w:fill="FFFFFF" w:val="clear"/>
            <w:tcMar>
              <w:top w:type="dxa" w:w="80"/>
              <w:left w:type="dxa" w:w="100"/>
              <w:bottom w:type="dxa" w:w="80"/>
              <w:right w:type="dxa" w:w="100"/>
            </w:tcMar>
          </w:tcPr>
          <w:p>
            <w:r>
              <w:rPr>
                <w:rFonts w:ascii="Arial" w:cs="Arial" w:eastAsia="Arial" w:hAnsi="Arial"/>
                <w:i/>
                <w:iCs/>
                <w:color w:val="444444"/>
                <w:sz w:val="18"/>
                <w:szCs w:val="18"/>
              </w:rPr>
              <w:t xml:space="preserve">Proton partnership is priority #1</w:t>
            </w:r>
          </w:p>
        </w:tc>
      </w:tr>
      <w:tr>
        <w:tc>
          <w:tcPr>
            <w:tcW w:type="dxa" w:w="1440"/>
            <w:tcBorders>
              <w:top w:val="single" w:color="DDDDDD" w:sz="1"/>
              <w:left w:val="single" w:color="DDDDDD" w:sz="1"/>
              <w:bottom w:val="single" w:color="DDDDDD" w:sz="1"/>
              <w:right w:val="single" w:color="DDDDDD" w:sz="1"/>
            </w:tcBorders>
            <w:shd w:fill="F7F5FF" w:val="clear"/>
            <w:tcMar>
              <w:top w:type="dxa" w:w="80"/>
              <w:left w:type="dxa" w:w="100"/>
              <w:bottom w:type="dxa" w:w="80"/>
              <w:right w:type="dxa" w:w="100"/>
            </w:tcMar>
          </w:tcPr>
          <w:p>
            <w:r>
              <w:rPr>
                <w:rFonts w:ascii="Arial" w:cs="Arial" w:eastAsia="Arial" w:hAnsi="Arial"/>
                <w:b/>
                <w:bCs/>
                <w:color w:val="534AB7"/>
                <w:sz w:val="19"/>
                <w:szCs w:val="19"/>
              </w:rPr>
              <w:t xml:space="preserve">Zug</w:t>
            </w:r>
          </w:p>
        </w:tc>
        <w:tc>
          <w:tcPr>
            <w:tcW w:type="dxa" w:w="1800"/>
            <w:tcBorders>
              <w:top w:val="single" w:color="DDDDDD" w:sz="1"/>
              <w:left w:val="single" w:color="DDDDDD" w:sz="1"/>
              <w:bottom w:val="single" w:color="DDDDDD" w:sz="1"/>
              <w:right w:val="single" w:color="DDDDDD" w:sz="1"/>
            </w:tcBorders>
            <w:shd w:fill="F7F5FF" w:val="clear"/>
            <w:tcMar>
              <w:top w:type="dxa" w:w="80"/>
              <w:left w:type="dxa" w:w="100"/>
              <w:bottom w:type="dxa" w:w="80"/>
              <w:right w:type="dxa" w:w="100"/>
            </w:tcMar>
          </w:tcPr>
          <w:p>
            <w:r>
              <w:rPr>
                <w:rFonts w:ascii="Arial" w:cs="Arial" w:eastAsia="Arial" w:hAnsi="Arial"/>
                <w:color w:val="1D9E75"/>
                <w:sz w:val="19"/>
                <w:szCs w:val="19"/>
              </w:rPr>
              <w:t xml:space="preserve">~12%</w:t>
            </w:r>
          </w:p>
        </w:tc>
        <w:tc>
          <w:tcPr>
            <w:tcW w:type="dxa" w:w="1800"/>
            <w:tcBorders>
              <w:top w:val="single" w:color="DDDDDD" w:sz="1"/>
              <w:left w:val="single" w:color="DDDDDD" w:sz="1"/>
              <w:bottom w:val="single" w:color="DDDDDD" w:sz="1"/>
              <w:right w:val="single" w:color="DDDDDD" w:sz="1"/>
            </w:tcBorders>
            <w:shd w:fill="F7F5FF" w:val="clear"/>
            <w:tcMar>
              <w:top w:type="dxa" w:w="80"/>
              <w:left w:type="dxa" w:w="100"/>
              <w:bottom w:type="dxa" w:w="80"/>
              <w:right w:type="dxa" w:w="100"/>
            </w:tcMar>
          </w:tcPr>
          <w:p>
            <w:r>
              <w:rPr>
                <w:rFonts w:ascii="Arial" w:cs="Arial" w:eastAsia="Arial" w:hAnsi="Arial"/>
                <w:color w:val="555555"/>
                <w:sz w:val="19"/>
                <w:szCs w:val="19"/>
              </w:rPr>
              <w:t xml:space="preserve">Very high</w:t>
            </w:r>
          </w:p>
          <w:p>
            <w:r>
              <w:rPr>
                <w:rFonts w:ascii="Arial" w:cs="Arial" w:eastAsia="Arial" w:hAnsi="Arial"/>
                <w:color w:val="555555"/>
                <w:sz w:val="19"/>
                <w:szCs w:val="19"/>
              </w:rPr>
              <w:t xml:space="preserve">(CHF 2,500+/mo)</w:t>
            </w:r>
          </w:p>
        </w:tc>
        <w:tc>
          <w:tcPr>
            <w:tcW w:type="dxa" w:w="2160"/>
            <w:tcBorders>
              <w:top w:val="single" w:color="DDDDDD" w:sz="1"/>
              <w:left w:val="single" w:color="DDDDDD" w:sz="1"/>
              <w:bottom w:val="single" w:color="DDDDDD" w:sz="1"/>
              <w:right w:val="single" w:color="DDDDDD" w:sz="1"/>
            </w:tcBorders>
            <w:shd w:fill="F7F5FF" w:val="clear"/>
            <w:tcMar>
              <w:top w:type="dxa" w:w="80"/>
              <w:left w:type="dxa" w:w="100"/>
              <w:bottom w:type="dxa" w:w="80"/>
              <w:right w:type="dxa" w:w="100"/>
            </w:tcMar>
          </w:tcPr>
          <w:p>
            <w:r>
              <w:rPr>
                <w:rFonts w:ascii="Arial" w:cs="Arial" w:eastAsia="Arial" w:hAnsi="Arial"/>
                <w:color w:val="333333"/>
                <w:sz w:val="18"/>
                <w:szCs w:val="18"/>
              </w:rPr>
              <w:t xml:space="preserve">Lowest tax, crypto hub (Crypto Valley), international</w:t>
            </w:r>
          </w:p>
        </w:tc>
        <w:tc>
          <w:tcPr>
            <w:tcW w:type="dxa" w:w="2160"/>
            <w:tcBorders>
              <w:top w:val="single" w:color="DDDDDD" w:sz="1"/>
              <w:left w:val="single" w:color="DDDDDD" w:sz="1"/>
              <w:bottom w:val="single" w:color="DDDDDD" w:sz="1"/>
              <w:right w:val="single" w:color="DDDDDD" w:sz="1"/>
            </w:tcBorders>
            <w:shd w:fill="F7F5FF" w:val="clear"/>
            <w:tcMar>
              <w:top w:type="dxa" w:w="80"/>
              <w:left w:type="dxa" w:w="100"/>
              <w:bottom w:type="dxa" w:w="80"/>
              <w:right w:type="dxa" w:w="100"/>
            </w:tcMar>
          </w:tcPr>
          <w:p>
            <w:r>
              <w:rPr>
                <w:rFonts w:ascii="Arial" w:cs="Arial" w:eastAsia="Arial" w:hAnsi="Arial"/>
                <w:i/>
                <w:iCs/>
                <w:color w:val="444444"/>
                <w:sz w:val="18"/>
                <w:szCs w:val="18"/>
              </w:rPr>
              <w:t xml:space="preserve">Wallet + crypto product is priority</w:t>
            </w:r>
          </w:p>
        </w:tc>
      </w:tr>
      <w:tr>
        <w:tc>
          <w:tcPr>
            <w:tcW w:type="dxa" w:w="1440"/>
            <w:tcBorders>
              <w:top w:val="single" w:color="DDDDDD" w:sz="1"/>
              <w:left w:val="single" w:color="DDDDDD" w:sz="1"/>
              <w:bottom w:val="single" w:color="DDDDDD" w:sz="1"/>
              <w:right w:val="single" w:color="DDDDDD" w:sz="1"/>
            </w:tcBorders>
            <w:shd w:fill="FFFFFF" w:val="clear"/>
            <w:tcMar>
              <w:top w:type="dxa" w:w="80"/>
              <w:left w:type="dxa" w:w="100"/>
              <w:bottom w:type="dxa" w:w="80"/>
              <w:right w:type="dxa" w:w="100"/>
            </w:tcMar>
          </w:tcPr>
          <w:p>
            <w:r>
              <w:rPr>
                <w:rFonts w:ascii="Arial" w:cs="Arial" w:eastAsia="Arial" w:hAnsi="Arial"/>
                <w:b/>
                <w:bCs/>
                <w:color w:val="534AB7"/>
                <w:sz w:val="19"/>
                <w:szCs w:val="19"/>
              </w:rPr>
              <w:t xml:space="preserve">Vaud
(Lausanne)</w:t>
            </w:r>
          </w:p>
        </w:tc>
        <w:tc>
          <w:tcPr>
            <w:tcW w:type="dxa" w:w="1800"/>
            <w:tcBorders>
              <w:top w:val="single" w:color="DDDDDD" w:sz="1"/>
              <w:left w:val="single" w:color="DDDDDD" w:sz="1"/>
              <w:bottom w:val="single" w:color="DDDDDD" w:sz="1"/>
              <w:right w:val="single" w:color="DDDDDD" w:sz="1"/>
            </w:tcBorders>
            <w:shd w:fill="FFFFFF" w:val="clear"/>
            <w:tcMar>
              <w:top w:type="dxa" w:w="80"/>
              <w:left w:type="dxa" w:w="100"/>
              <w:bottom w:type="dxa" w:w="80"/>
              <w:right w:type="dxa" w:w="100"/>
            </w:tcMar>
          </w:tcPr>
          <w:p>
            <w:r>
              <w:rPr>
                <w:rFonts w:ascii="Arial" w:cs="Arial" w:eastAsia="Arial" w:hAnsi="Arial"/>
                <w:color w:val="1D9E75"/>
                <w:sz w:val="19"/>
                <w:szCs w:val="19"/>
              </w:rPr>
              <w:t xml:space="preserve">~14%</w:t>
            </w:r>
          </w:p>
        </w:tc>
        <w:tc>
          <w:tcPr>
            <w:tcW w:type="dxa" w:w="1800"/>
            <w:tcBorders>
              <w:top w:val="single" w:color="DDDDDD" w:sz="1"/>
              <w:left w:val="single" w:color="DDDDDD" w:sz="1"/>
              <w:bottom w:val="single" w:color="DDDDDD" w:sz="1"/>
              <w:right w:val="single" w:color="DDDDDD" w:sz="1"/>
            </w:tcBorders>
            <w:shd w:fill="FFFFFF" w:val="clear"/>
            <w:tcMar>
              <w:top w:type="dxa" w:w="80"/>
              <w:left w:type="dxa" w:w="100"/>
              <w:bottom w:type="dxa" w:w="80"/>
              <w:right w:type="dxa" w:w="100"/>
            </w:tcMar>
          </w:tcPr>
          <w:p>
            <w:r>
              <w:rPr>
                <w:rFonts w:ascii="Arial" w:cs="Arial" w:eastAsia="Arial" w:hAnsi="Arial"/>
                <w:color w:val="555555"/>
                <w:sz w:val="19"/>
                <w:szCs w:val="19"/>
              </w:rPr>
              <w:t xml:space="preserve">High</w:t>
            </w:r>
          </w:p>
          <w:p>
            <w:r>
              <w:rPr>
                <w:rFonts w:ascii="Arial" w:cs="Arial" w:eastAsia="Arial" w:hAnsi="Arial"/>
                <w:color w:val="555555"/>
                <w:sz w:val="19"/>
                <w:szCs w:val="19"/>
              </w:rPr>
              <w:t xml:space="preserve">(CHF 1,800+/mo)</w:t>
            </w:r>
          </w:p>
        </w:tc>
        <w:tc>
          <w:tcPr>
            <w:tcW w:type="dxa" w:w="2160"/>
            <w:tcBorders>
              <w:top w:val="single" w:color="DDDDDD" w:sz="1"/>
              <w:left w:val="single" w:color="DDDDDD" w:sz="1"/>
              <w:bottom w:val="single" w:color="DDDDDD" w:sz="1"/>
              <w:right w:val="single" w:color="DDDDDD" w:sz="1"/>
            </w:tcBorders>
            <w:shd w:fill="FFFFFF" w:val="clear"/>
            <w:tcMar>
              <w:top w:type="dxa" w:w="80"/>
              <w:left w:type="dxa" w:w="100"/>
              <w:bottom w:type="dxa" w:w="80"/>
              <w:right w:type="dxa" w:w="100"/>
            </w:tcMar>
          </w:tcPr>
          <w:p>
            <w:r>
              <w:rPr>
                <w:rFonts w:ascii="Arial" w:cs="Arial" w:eastAsia="Arial" w:hAnsi="Arial"/>
                <w:color w:val="333333"/>
                <w:sz w:val="18"/>
                <w:szCs w:val="18"/>
              </w:rPr>
              <w:t xml:space="preserve">EPFL, Innosuisse research, tech ecosystem, near Geneva</w:t>
            </w:r>
          </w:p>
        </w:tc>
        <w:tc>
          <w:tcPr>
            <w:tcW w:type="dxa" w:w="2160"/>
            <w:tcBorders>
              <w:top w:val="single" w:color="DDDDDD" w:sz="1"/>
              <w:left w:val="single" w:color="DDDDDD" w:sz="1"/>
              <w:bottom w:val="single" w:color="DDDDDD" w:sz="1"/>
              <w:right w:val="single" w:color="DDDDDD" w:sz="1"/>
            </w:tcBorders>
            <w:shd w:fill="FFFFFF" w:val="clear"/>
            <w:tcMar>
              <w:top w:type="dxa" w:w="80"/>
              <w:left w:type="dxa" w:w="100"/>
              <w:bottom w:type="dxa" w:w="80"/>
              <w:right w:type="dxa" w:w="100"/>
            </w:tcMar>
          </w:tcPr>
          <w:p>
            <w:r>
              <w:rPr>
                <w:rFonts w:ascii="Arial" w:cs="Arial" w:eastAsia="Arial" w:hAnsi="Arial"/>
                <w:i/>
                <w:iCs/>
                <w:color w:val="444444"/>
                <w:sz w:val="18"/>
                <w:szCs w:val="18"/>
              </w:rPr>
              <w:t xml:space="preserve">Research funding + tech credibility</w:t>
            </w:r>
          </w:p>
        </w:tc>
      </w:tr>
      <w:tr>
        <w:tc>
          <w:tcPr>
            <w:tcW w:type="dxa" w:w="1440"/>
            <w:tcBorders>
              <w:top w:val="single" w:color="DDDDDD" w:sz="1"/>
              <w:left w:val="single" w:color="DDDDDD" w:sz="1"/>
              <w:bottom w:val="single" w:color="DDDDDD" w:sz="1"/>
              <w:right w:val="single" w:color="DDDDDD" w:sz="1"/>
            </w:tcBorders>
            <w:shd w:fill="F7F5FF" w:val="clear"/>
            <w:tcMar>
              <w:top w:type="dxa" w:w="80"/>
              <w:left w:type="dxa" w:w="100"/>
              <w:bottom w:type="dxa" w:w="80"/>
              <w:right w:type="dxa" w:w="100"/>
            </w:tcMar>
          </w:tcPr>
          <w:p>
            <w:r>
              <w:rPr>
                <w:rFonts w:ascii="Arial" w:cs="Arial" w:eastAsia="Arial" w:hAnsi="Arial"/>
                <w:b/>
                <w:bCs/>
                <w:color w:val="534AB7"/>
                <w:sz w:val="19"/>
                <w:szCs w:val="19"/>
              </w:rPr>
              <w:t xml:space="preserve">Zurich</w:t>
            </w:r>
          </w:p>
        </w:tc>
        <w:tc>
          <w:tcPr>
            <w:tcW w:type="dxa" w:w="1800"/>
            <w:tcBorders>
              <w:top w:val="single" w:color="DDDDDD" w:sz="1"/>
              <w:left w:val="single" w:color="DDDDDD" w:sz="1"/>
              <w:bottom w:val="single" w:color="DDDDDD" w:sz="1"/>
              <w:right w:val="single" w:color="DDDDDD" w:sz="1"/>
            </w:tcBorders>
            <w:shd w:fill="F7F5FF" w:val="clear"/>
            <w:tcMar>
              <w:top w:type="dxa" w:w="80"/>
              <w:left w:type="dxa" w:w="100"/>
              <w:bottom w:type="dxa" w:w="80"/>
              <w:right w:type="dxa" w:w="100"/>
            </w:tcMar>
          </w:tcPr>
          <w:p>
            <w:r>
              <w:rPr>
                <w:rFonts w:ascii="Arial" w:cs="Arial" w:eastAsia="Arial" w:hAnsi="Arial"/>
                <w:color w:val="1D9E75"/>
                <w:sz w:val="19"/>
                <w:szCs w:val="19"/>
              </w:rPr>
              <w:t xml:space="preserve">~17%</w:t>
            </w:r>
          </w:p>
        </w:tc>
        <w:tc>
          <w:tcPr>
            <w:tcW w:type="dxa" w:w="1800"/>
            <w:tcBorders>
              <w:top w:val="single" w:color="DDDDDD" w:sz="1"/>
              <w:left w:val="single" w:color="DDDDDD" w:sz="1"/>
              <w:bottom w:val="single" w:color="DDDDDD" w:sz="1"/>
              <w:right w:val="single" w:color="DDDDDD" w:sz="1"/>
            </w:tcBorders>
            <w:shd w:fill="F7F5FF" w:val="clear"/>
            <w:tcMar>
              <w:top w:type="dxa" w:w="80"/>
              <w:left w:type="dxa" w:w="100"/>
              <w:bottom w:type="dxa" w:w="80"/>
              <w:right w:type="dxa" w:w="100"/>
            </w:tcMar>
          </w:tcPr>
          <w:p>
            <w:r>
              <w:rPr>
                <w:rFonts w:ascii="Arial" w:cs="Arial" w:eastAsia="Arial" w:hAnsi="Arial"/>
                <w:color w:val="555555"/>
                <w:sz w:val="19"/>
                <w:szCs w:val="19"/>
              </w:rPr>
              <w:t xml:space="preserve">Very high</w:t>
            </w:r>
          </w:p>
          <w:p>
            <w:r>
              <w:rPr>
                <w:rFonts w:ascii="Arial" w:cs="Arial" w:eastAsia="Arial" w:hAnsi="Arial"/>
                <w:color w:val="555555"/>
                <w:sz w:val="19"/>
                <w:szCs w:val="19"/>
              </w:rPr>
              <w:t xml:space="preserve">(CHF 2,200+/mo)</w:t>
            </w:r>
          </w:p>
        </w:tc>
        <w:tc>
          <w:tcPr>
            <w:tcW w:type="dxa" w:w="2160"/>
            <w:tcBorders>
              <w:top w:val="single" w:color="DDDDDD" w:sz="1"/>
              <w:left w:val="single" w:color="DDDDDD" w:sz="1"/>
              <w:bottom w:val="single" w:color="DDDDDD" w:sz="1"/>
              <w:right w:val="single" w:color="DDDDDD" w:sz="1"/>
            </w:tcBorders>
            <w:shd w:fill="F7F5FF" w:val="clear"/>
            <w:tcMar>
              <w:top w:type="dxa" w:w="80"/>
              <w:left w:type="dxa" w:w="100"/>
              <w:bottom w:type="dxa" w:w="80"/>
              <w:right w:type="dxa" w:w="100"/>
            </w:tcMar>
          </w:tcPr>
          <w:p>
            <w:r>
              <w:rPr>
                <w:rFonts w:ascii="Arial" w:cs="Arial" w:eastAsia="Arial" w:hAnsi="Arial"/>
                <w:color w:val="333333"/>
                <w:sz w:val="18"/>
                <w:szCs w:val="18"/>
              </w:rPr>
              <w:t xml:space="preserve">Largest VC market, banking, international</w:t>
            </w:r>
          </w:p>
        </w:tc>
        <w:tc>
          <w:tcPr>
            <w:tcW w:type="dxa" w:w="2160"/>
            <w:tcBorders>
              <w:top w:val="single" w:color="DDDDDD" w:sz="1"/>
              <w:left w:val="single" w:color="DDDDDD" w:sz="1"/>
              <w:bottom w:val="single" w:color="DDDDDD" w:sz="1"/>
              <w:right w:val="single" w:color="DDDDDD" w:sz="1"/>
            </w:tcBorders>
            <w:shd w:fill="F7F5FF" w:val="clear"/>
            <w:tcMar>
              <w:top w:type="dxa" w:w="80"/>
              <w:left w:type="dxa" w:w="100"/>
              <w:bottom w:type="dxa" w:w="80"/>
              <w:right w:type="dxa" w:w="100"/>
            </w:tcMar>
          </w:tcPr>
          <w:p>
            <w:r>
              <w:rPr>
                <w:rFonts w:ascii="Arial" w:cs="Arial" w:eastAsia="Arial" w:hAnsi="Arial"/>
                <w:i/>
                <w:iCs/>
                <w:color w:val="444444"/>
                <w:sz w:val="18"/>
                <w:szCs w:val="18"/>
              </w:rPr>
              <w:t xml:space="preserve">Raising angel investment from Swiss VCs</w:t>
            </w:r>
          </w:p>
        </w:tc>
      </w:tr>
      <w:tr>
        <w:tc>
          <w:tcPr>
            <w:tcW w:type="dxa" w:w="1440"/>
            <w:tcBorders>
              <w:top w:val="single" w:color="DDDDDD" w:sz="1"/>
              <w:left w:val="single" w:color="DDDDDD" w:sz="1"/>
              <w:bottom w:val="single" w:color="DDDDDD" w:sz="1"/>
              <w:right w:val="single" w:color="DDDDDD" w:sz="1"/>
            </w:tcBorders>
            <w:shd w:fill="FFFFFF" w:val="clear"/>
            <w:tcMar>
              <w:top w:type="dxa" w:w="80"/>
              <w:left w:type="dxa" w:w="100"/>
              <w:bottom w:type="dxa" w:w="80"/>
              <w:right w:type="dxa" w:w="100"/>
            </w:tcMar>
          </w:tcPr>
          <w:p>
            <w:r>
              <w:rPr>
                <w:rFonts w:ascii="Arial" w:cs="Arial" w:eastAsia="Arial" w:hAnsi="Arial"/>
                <w:b/>
                <w:bCs/>
                <w:color w:val="534AB7"/>
                <w:sz w:val="19"/>
                <w:szCs w:val="19"/>
              </w:rPr>
              <w:t xml:space="preserve">Neuchâtel</w:t>
            </w:r>
          </w:p>
        </w:tc>
        <w:tc>
          <w:tcPr>
            <w:tcW w:type="dxa" w:w="1800"/>
            <w:tcBorders>
              <w:top w:val="single" w:color="DDDDDD" w:sz="1"/>
              <w:left w:val="single" w:color="DDDDDD" w:sz="1"/>
              <w:bottom w:val="single" w:color="DDDDDD" w:sz="1"/>
              <w:right w:val="single" w:color="DDDDDD" w:sz="1"/>
            </w:tcBorders>
            <w:shd w:fill="FFFFFF" w:val="clear"/>
            <w:tcMar>
              <w:top w:type="dxa" w:w="80"/>
              <w:left w:type="dxa" w:w="100"/>
              <w:bottom w:type="dxa" w:w="80"/>
              <w:right w:type="dxa" w:w="100"/>
            </w:tcMar>
          </w:tcPr>
          <w:p>
            <w:r>
              <w:rPr>
                <w:rFonts w:ascii="Arial" w:cs="Arial" w:eastAsia="Arial" w:hAnsi="Arial"/>
                <w:color w:val="1D9E75"/>
                <w:sz w:val="19"/>
                <w:szCs w:val="19"/>
              </w:rPr>
              <w:t xml:space="preserve">~14%</w:t>
            </w:r>
          </w:p>
        </w:tc>
        <w:tc>
          <w:tcPr>
            <w:tcW w:type="dxa" w:w="1800"/>
            <w:tcBorders>
              <w:top w:val="single" w:color="DDDDDD" w:sz="1"/>
              <w:left w:val="single" w:color="DDDDDD" w:sz="1"/>
              <w:bottom w:val="single" w:color="DDDDDD" w:sz="1"/>
              <w:right w:val="single" w:color="DDDDDD" w:sz="1"/>
            </w:tcBorders>
            <w:shd w:fill="FFFFFF" w:val="clear"/>
            <w:tcMar>
              <w:top w:type="dxa" w:w="80"/>
              <w:left w:type="dxa" w:w="100"/>
              <w:bottom w:type="dxa" w:w="80"/>
              <w:right w:type="dxa" w:w="100"/>
            </w:tcMar>
          </w:tcPr>
          <w:p>
            <w:r>
              <w:rPr>
                <w:rFonts w:ascii="Arial" w:cs="Arial" w:eastAsia="Arial" w:hAnsi="Arial"/>
                <w:color w:val="555555"/>
                <w:sz w:val="19"/>
                <w:szCs w:val="19"/>
              </w:rPr>
              <w:t xml:space="preserve">Moderate</w:t>
            </w:r>
          </w:p>
          <w:p>
            <w:r>
              <w:rPr>
                <w:rFonts w:ascii="Arial" w:cs="Arial" w:eastAsia="Arial" w:hAnsi="Arial"/>
                <w:color w:val="555555"/>
                <w:sz w:val="19"/>
                <w:szCs w:val="19"/>
              </w:rPr>
              <w:t xml:space="preserve">(CHF 1,400+/mo)</w:t>
            </w:r>
          </w:p>
        </w:tc>
        <w:tc>
          <w:tcPr>
            <w:tcW w:type="dxa" w:w="2160"/>
            <w:tcBorders>
              <w:top w:val="single" w:color="DDDDDD" w:sz="1"/>
              <w:left w:val="single" w:color="DDDDDD" w:sz="1"/>
              <w:bottom w:val="single" w:color="DDDDDD" w:sz="1"/>
              <w:right w:val="single" w:color="DDDDDD" w:sz="1"/>
            </w:tcBorders>
            <w:shd w:fill="FFFFFF" w:val="clear"/>
            <w:tcMar>
              <w:top w:type="dxa" w:w="80"/>
              <w:left w:type="dxa" w:w="100"/>
              <w:bottom w:type="dxa" w:w="80"/>
              <w:right w:type="dxa" w:w="100"/>
            </w:tcMar>
          </w:tcPr>
          <w:p>
            <w:r>
              <w:rPr>
                <w:rFonts w:ascii="Arial" w:cs="Arial" w:eastAsia="Arial" w:hAnsi="Arial"/>
                <w:color w:val="333333"/>
                <w:sz w:val="18"/>
                <w:szCs w:val="18"/>
              </w:rPr>
              <w:t xml:space="preserve">Quieter, French-speaking, near Bern and Geneva</w:t>
            </w:r>
          </w:p>
        </w:tc>
        <w:tc>
          <w:tcPr>
            <w:tcW w:type="dxa" w:w="2160"/>
            <w:tcBorders>
              <w:top w:val="single" w:color="DDDDDD" w:sz="1"/>
              <w:left w:val="single" w:color="DDDDDD" w:sz="1"/>
              <w:bottom w:val="single" w:color="DDDDDD" w:sz="1"/>
              <w:right w:val="single" w:color="DDDDDD" w:sz="1"/>
            </w:tcBorders>
            <w:shd w:fill="FFFFFF" w:val="clear"/>
            <w:tcMar>
              <w:top w:type="dxa" w:w="80"/>
              <w:left w:type="dxa" w:w="100"/>
              <w:bottom w:type="dxa" w:w="80"/>
              <w:right w:type="dxa" w:w="100"/>
            </w:tcMar>
          </w:tcPr>
          <w:p>
            <w:r>
              <w:rPr>
                <w:rFonts w:ascii="Arial" w:cs="Arial" w:eastAsia="Arial" w:hAnsi="Arial"/>
                <w:i/>
                <w:iCs/>
                <w:color w:val="444444"/>
                <w:sz w:val="18"/>
                <w:szCs w:val="18"/>
              </w:rPr>
              <w:t xml:space="preserve">Lower cost while building Phase 1–2</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
        <w:gridCol w:w="9080"/>
      </w:tblGrid>
      <w:tr>
        <w:tc>
          <w:tcPr>
            <w:tcW w:type="dxa" w:w="280"/>
            <w:tcBorders>
              <w:top w:val="none" w:color="FFFFFF" w:sz="0"/>
              <w:left w:val="none" w:color="FFFFFF" w:sz="0"/>
              <w:bottom w:val="none" w:color="FFFFFF" w:sz="0"/>
              <w:right w:val="none" w:color="FFFFFF" w:sz="0"/>
            </w:tcBorders>
            <w:shd w:fill="534AB7" w:val="clear"/>
            <w:tcMar>
              <w:top w:type="dxa" w:w="80"/>
              <w:left w:type="dxa" w:w="80"/>
              <w:bottom w:type="dxa" w:w="80"/>
              <w:right w:type="dxa" w:w="80"/>
            </w:tcMar>
          </w:tcPr>
          <w:p>
            <w:r>
              <w:t xml:space="preserve"/>
            </w:r>
          </w:p>
        </w:tc>
        <w:tc>
          <w:tcPr>
            <w:tcW w:type="dxa" w:w="9080"/>
            <w:tcBorders>
              <w:top w:val="none" w:color="FFFFFF" w:sz="0"/>
              <w:left w:val="none" w:color="FFFFFF" w:sz="0"/>
              <w:bottom w:val="none" w:color="FFFFFF" w:sz="0"/>
              <w:right w:val="none" w:color="FFFFFF" w:sz="0"/>
            </w:tcBorders>
            <w:shd w:fill="F7F5FF" w:val="clear"/>
            <w:tcMar>
              <w:top w:type="dxa" w:w="120"/>
              <w:left w:type="dxa" w:w="200"/>
              <w:bottom w:type="dxa" w:w="120"/>
              <w:right w:type="dxa" w:w="160"/>
            </w:tcMar>
          </w:tcPr>
          <w:p>
            <w:r>
              <w:rPr>
                <w:rFonts w:ascii="Arial" w:cs="Arial" w:eastAsia="Arial" w:hAnsi="Arial"/>
                <w:i/>
                <w:iCs/>
                <w:color w:val="0d0d1a"/>
                <w:sz w:val="22"/>
                <w:szCs w:val="22"/>
              </w:rPr>
              <w:t xml:space="preserve">Recommendation: Geneva first. It puts you in the same canton as Proton, makes you FONGIT-eligible in the most direct sense, and connects you to the CERN alumni network that built Proton in the first place. If cost is a constraint, Neuchâtel is a 45-minute drive from Geneva with significantly lower living costs.</w:t>
            </w:r>
          </w:p>
        </w:tc>
      </w:tr>
    </w:tbl>
    <w:p>
      <w:pPr>
        <w:pBdr>
          <w:bottom w:val="single" w:color="1D9E75" w:sz="6" w:space="1"/>
        </w:pBdr>
        <w:spacing w:before="160" w:after="160"/>
      </w:pPr>
      <w:r>
        <w:t xml:space="preserve"/>
      </w:r>
    </w:p>
    <w:p>
      <w:r>
        <w:br w:type="page"/>
      </w:r>
    </w:p>
    <w:p>
      <w:pPr>
        <w:pStyle w:val="Heading1"/>
        <w:spacing w:before="480" w:after="120"/>
      </w:pPr>
      <w:r>
        <w:rPr>
          <w:rFonts w:ascii="Arial" w:cs="Arial" w:eastAsia="Arial" w:hAnsi="Arial"/>
          <w:b/>
          <w:bCs/>
          <w:color w:val="0d0d1a"/>
          <w:sz w:val="40"/>
          <w:szCs w:val="40"/>
        </w:rPr>
        <w:t xml:space="preserve">The Financial Reality of Swiss Residency</w:t>
      </w:r>
    </w:p>
    <w:p>
      <w:pPr>
        <w:spacing w:before="60" w:after="100"/>
      </w:pPr>
      <w:r>
        <w:rPr>
          <w:rFonts w:ascii="Arial" w:cs="Arial" w:eastAsia="Arial" w:hAnsi="Arial"/>
          <w:color w:val="333333"/>
          <w:sz w:val="22"/>
          <w:szCs w:val="22"/>
        </w:rPr>
        <w:t>Switzerland is expensive. This is not a rumour. You need to plan for it honestly. Here is what a realistic monthly budget looks like for a single person running the Vela Protocol project from Geneva.</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960"/>
        <w:gridCol w:w="2700"/>
        <w:gridCol w:w="2700"/>
      </w:tblGrid>
      <w:tr>
        <w:tc>
          <w:tcPr>
            <w:tcW w:type="dxa" w:w="396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Expense</w:t>
            </w:r>
          </w:p>
        </w:tc>
        <w:tc>
          <w:tcPr>
            <w:tcW w:type="dxa" w:w="270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Minimum budget</w:t>
            </w:r>
          </w:p>
        </w:tc>
        <w:tc>
          <w:tcPr>
            <w:tcW w:type="dxa" w:w="270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Comfortable budget</w:t>
            </w:r>
          </w:p>
        </w:tc>
      </w:tr>
      <w:tr>
        <w:tc>
          <w:tcPr>
            <w:tcW w:type="dxa" w:w="39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val="false"/>
                <w:bCs w:val="false"/>
                <w:color w:val="0d0d1a"/>
                <w:sz w:val="20"/>
                <w:szCs w:val="20"/>
              </w:rPr>
              <w:t xml:space="preserve">Rent (studio, Geneva)</w:t>
            </w:r>
          </w:p>
        </w:tc>
        <w:tc>
          <w:tcPr>
            <w:tcW w:type="dxa" w:w="27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val="false"/>
                <w:bCs w:val="false"/>
                <w:color w:val="444444"/>
                <w:sz w:val="20"/>
                <w:szCs w:val="20"/>
              </w:rPr>
              <w:t xml:space="preserve">CHF 1,200</w:t>
            </w:r>
          </w:p>
        </w:tc>
        <w:tc>
          <w:tcPr>
            <w:tcW w:type="dxa" w:w="27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val="false"/>
                <w:bCs w:val="false"/>
                <w:color w:val="444444"/>
                <w:sz w:val="20"/>
                <w:szCs w:val="20"/>
              </w:rPr>
              <w:t xml:space="preserve">CHF 1,800</w:t>
            </w:r>
          </w:p>
        </w:tc>
      </w:tr>
      <w:tr>
        <w:tc>
          <w:tcPr>
            <w:tcW w:type="dxa" w:w="39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val="false"/>
                <w:bCs w:val="false"/>
                <w:color w:val="0d0d1a"/>
                <w:sz w:val="20"/>
                <w:szCs w:val="20"/>
              </w:rPr>
              <w:t xml:space="preserve">Health insurance (mandatory)</w:t>
            </w:r>
          </w:p>
        </w:tc>
        <w:tc>
          <w:tcPr>
            <w:tcW w:type="dxa" w:w="27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val="false"/>
                <w:bCs w:val="false"/>
                <w:color w:val="444444"/>
                <w:sz w:val="20"/>
                <w:szCs w:val="20"/>
              </w:rPr>
              <w:t xml:space="preserve">CHF 350</w:t>
            </w:r>
          </w:p>
        </w:tc>
        <w:tc>
          <w:tcPr>
            <w:tcW w:type="dxa" w:w="27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val="false"/>
                <w:bCs w:val="false"/>
                <w:color w:val="444444"/>
                <w:sz w:val="20"/>
                <w:szCs w:val="20"/>
              </w:rPr>
              <w:t xml:space="preserve">CHF 450</w:t>
            </w:r>
          </w:p>
        </w:tc>
      </w:tr>
      <w:tr>
        <w:tc>
          <w:tcPr>
            <w:tcW w:type="dxa" w:w="39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val="false"/>
                <w:bCs w:val="false"/>
                <w:color w:val="0d0d1a"/>
                <w:sz w:val="20"/>
                <w:szCs w:val="20"/>
              </w:rPr>
              <w:t xml:space="preserve">Food and household</w:t>
            </w:r>
          </w:p>
        </w:tc>
        <w:tc>
          <w:tcPr>
            <w:tcW w:type="dxa" w:w="27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val="false"/>
                <w:bCs w:val="false"/>
                <w:color w:val="444444"/>
                <w:sz w:val="20"/>
                <w:szCs w:val="20"/>
              </w:rPr>
              <w:t xml:space="preserve">CHF 400</w:t>
            </w:r>
          </w:p>
        </w:tc>
        <w:tc>
          <w:tcPr>
            <w:tcW w:type="dxa" w:w="27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val="false"/>
                <w:bCs w:val="false"/>
                <w:color w:val="444444"/>
                <w:sz w:val="20"/>
                <w:szCs w:val="20"/>
              </w:rPr>
              <w:t xml:space="preserve">CHF 600</w:t>
            </w:r>
          </w:p>
        </w:tc>
      </w:tr>
      <w:tr>
        <w:tc>
          <w:tcPr>
            <w:tcW w:type="dxa" w:w="39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val="false"/>
                <w:bCs w:val="false"/>
                <w:color w:val="0d0d1a"/>
                <w:sz w:val="20"/>
                <w:szCs w:val="20"/>
              </w:rPr>
              <w:t xml:space="preserve">Transport (public, Halbtax card)</w:t>
            </w:r>
          </w:p>
        </w:tc>
        <w:tc>
          <w:tcPr>
            <w:tcW w:type="dxa" w:w="27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val="false"/>
                <w:bCs w:val="false"/>
                <w:color w:val="444444"/>
                <w:sz w:val="20"/>
                <w:szCs w:val="20"/>
              </w:rPr>
              <w:t xml:space="preserve">CHF 80</w:t>
            </w:r>
          </w:p>
        </w:tc>
        <w:tc>
          <w:tcPr>
            <w:tcW w:type="dxa" w:w="27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val="false"/>
                <w:bCs w:val="false"/>
                <w:color w:val="444444"/>
                <w:sz w:val="20"/>
                <w:szCs w:val="20"/>
              </w:rPr>
              <w:t xml:space="preserve">CHF 120</w:t>
            </w:r>
          </w:p>
        </w:tc>
      </w:tr>
      <w:tr>
        <w:tc>
          <w:tcPr>
            <w:tcW w:type="dxa" w:w="39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val="false"/>
                <w:bCs w:val="false"/>
                <w:color w:val="0d0d1a"/>
                <w:sz w:val="20"/>
                <w:szCs w:val="20"/>
              </w:rPr>
              <w:t xml:space="preserve">Utilities (usually included in rent)</w:t>
            </w:r>
          </w:p>
        </w:tc>
        <w:tc>
          <w:tcPr>
            <w:tcW w:type="dxa" w:w="27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val="false"/>
                <w:bCs w:val="false"/>
                <w:color w:val="444444"/>
                <w:sz w:val="20"/>
                <w:szCs w:val="20"/>
              </w:rPr>
              <w:t xml:space="preserve">CHF 0–100</w:t>
            </w:r>
          </w:p>
        </w:tc>
        <w:tc>
          <w:tcPr>
            <w:tcW w:type="dxa" w:w="27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val="false"/>
                <w:bCs w:val="false"/>
                <w:color w:val="444444"/>
                <w:sz w:val="20"/>
                <w:szCs w:val="20"/>
              </w:rPr>
              <w:t xml:space="preserve">CHF 100</w:t>
            </w:r>
          </w:p>
        </w:tc>
      </w:tr>
      <w:tr>
        <w:tc>
          <w:tcPr>
            <w:tcW w:type="dxa" w:w="39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val="false"/>
                <w:bCs w:val="false"/>
                <w:color w:val="0d0d1a"/>
                <w:sz w:val="20"/>
                <w:szCs w:val="20"/>
              </w:rPr>
              <w:t xml:space="preserve">Phone + internet</w:t>
            </w:r>
          </w:p>
        </w:tc>
        <w:tc>
          <w:tcPr>
            <w:tcW w:type="dxa" w:w="27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val="false"/>
                <w:bCs w:val="false"/>
                <w:color w:val="444444"/>
                <w:sz w:val="20"/>
                <w:szCs w:val="20"/>
              </w:rPr>
              <w:t xml:space="preserve">CHF 50</w:t>
            </w:r>
          </w:p>
        </w:tc>
        <w:tc>
          <w:tcPr>
            <w:tcW w:type="dxa" w:w="27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val="false"/>
                <w:bCs w:val="false"/>
                <w:color w:val="444444"/>
                <w:sz w:val="20"/>
                <w:szCs w:val="20"/>
              </w:rPr>
              <w:t xml:space="preserve">CHF 80</w:t>
            </w:r>
          </w:p>
        </w:tc>
      </w:tr>
      <w:tr>
        <w:tc>
          <w:tcPr>
            <w:tcW w:type="dxa" w:w="39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val="false"/>
                <w:bCs w:val="false"/>
                <w:color w:val="0d0d1a"/>
                <w:sz w:val="20"/>
                <w:szCs w:val="20"/>
              </w:rPr>
              <w:t xml:space="preserve">Miscellaneous</w:t>
            </w:r>
          </w:p>
        </w:tc>
        <w:tc>
          <w:tcPr>
            <w:tcW w:type="dxa" w:w="27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val="false"/>
                <w:bCs w:val="false"/>
                <w:color w:val="444444"/>
                <w:sz w:val="20"/>
                <w:szCs w:val="20"/>
              </w:rPr>
              <w:t xml:space="preserve">CHF 200</w:t>
            </w:r>
          </w:p>
        </w:tc>
        <w:tc>
          <w:tcPr>
            <w:tcW w:type="dxa" w:w="270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val="false"/>
                <w:bCs w:val="false"/>
                <w:color w:val="444444"/>
                <w:sz w:val="20"/>
                <w:szCs w:val="20"/>
              </w:rPr>
              <w:t xml:space="preserve">CHF 400</w:t>
            </w:r>
          </w:p>
        </w:tc>
      </w:tr>
      <w:tr>
        <w:tc>
          <w:tcPr>
            <w:tcW w:type="dxa" w:w="39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val="false"/>
                <w:bCs w:val="false"/>
                <w:color w:val="0d0d1a"/>
                <w:sz w:val="20"/>
                <w:szCs w:val="20"/>
              </w:rPr>
              <w:t xml:space="preserve">GmbH annual costs (accounting, etc.)</w:t>
            </w:r>
          </w:p>
        </w:tc>
        <w:tc>
          <w:tcPr>
            <w:tcW w:type="dxa" w:w="27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val="false"/>
                <w:bCs w:val="false"/>
                <w:color w:val="444444"/>
                <w:sz w:val="20"/>
                <w:szCs w:val="20"/>
              </w:rPr>
              <w:t xml:space="preserve">CHF 100/month</w:t>
            </w:r>
          </w:p>
        </w:tc>
        <w:tc>
          <w:tcPr>
            <w:tcW w:type="dxa" w:w="270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val="false"/>
                <w:bCs w:val="false"/>
                <w:color w:val="444444"/>
                <w:sz w:val="20"/>
                <w:szCs w:val="20"/>
              </w:rPr>
              <w:t xml:space="preserve">CHF 150/month</w:t>
            </w:r>
          </w:p>
        </w:tc>
      </w:tr>
      <w:tr>
        <w:tc>
          <w:tcPr>
            <w:tcW w:type="dxa" w:w="396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b/>
                <w:bCs/>
                <w:color w:val="1D9E75"/>
                <w:sz w:val="20"/>
                <w:szCs w:val="20"/>
              </w:rPr>
              <w:t xml:space="preserve">TOTAL per month</w:t>
            </w:r>
          </w:p>
        </w:tc>
        <w:tc>
          <w:tcPr>
            <w:tcW w:type="dxa" w:w="270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b/>
                <w:bCs/>
                <w:color w:val="1D9E75"/>
                <w:sz w:val="20"/>
                <w:szCs w:val="20"/>
              </w:rPr>
              <w:t xml:space="preserve">CHF 2,380</w:t>
            </w:r>
          </w:p>
        </w:tc>
        <w:tc>
          <w:tcPr>
            <w:tcW w:type="dxa" w:w="270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b/>
                <w:bCs/>
                <w:color w:val="1D9E75"/>
                <w:sz w:val="20"/>
                <w:szCs w:val="20"/>
              </w:rPr>
              <w:t xml:space="preserve">CHF 3,700</w:t>
            </w:r>
          </w:p>
        </w:tc>
      </w:tr>
    </w:tbl>
    <w:p>
      <w:pPr>
        <w:spacing w:before="80" w:after="80"/>
      </w:pPr>
      <w:r>
        <w:t xml:space="preserve"/>
      </w:r>
    </w:p>
    <w:p>
      <w:pPr>
        <w:spacing w:before="60" w:after="100"/>
      </w:pPr>
      <w:r>
        <w:rPr>
          <w:rFonts w:ascii="Arial" w:cs="Arial" w:eastAsia="Arial" w:hAnsi="Arial"/>
          <w:color w:val="333333"/>
          <w:sz w:val="22"/>
          <w:szCs w:val="22"/>
        </w:rPr>
        <w:t xml:space="preserve">At minimum budget, you need CHF 2,380/month (approximately €2,500/month) to live in Geneva and run the project. Vela at 265 paying subscribers covers this. That is not an impossible number if you reach it before you move.</w:t>
      </w:r>
    </w:p>
    <w:p>
      <w:pPr>
        <w:spacing w:before="60" w:after="100"/>
      </w:pPr>
      <w:r>
        <w:rPr>
          <w:rFonts w:ascii="Arial" w:cs="Arial" w:eastAsia="Arial" w:hAnsi="Arial"/>
          <w:color w:val="333333"/>
          <w:sz w:val="22"/>
          <w:szCs w:val="22"/>
        </w:rPr>
        <w:t xml:space="preserve">Alternatively: Neuchâtel reduces living costs by CHF 400–600/month. It is 1h20 by train to Geneva, fully French-speaking, and still within the Swiss ecosystem. Many startup founders live there and commute for meetings.</w:t>
      </w:r>
    </w:p>
    <w:p>
      <w:pPr>
        <w:pBdr>
          <w:bottom w:val="single" w:color="1D9E75" w:sz="6" w:space="1"/>
        </w:pBdr>
        <w:spacing w:before="160" w:after="160"/>
      </w:pPr>
      <w:r>
        <w:t xml:space="preserve"/>
      </w:r>
    </w:p>
    <w:p>
      <w:r>
        <w:br w:type="page"/>
      </w:r>
    </w:p>
    <w:p>
      <w:pPr>
        <w:pStyle w:val="Heading1"/>
        <w:spacing w:before="480" w:after="120"/>
      </w:pPr>
      <w:r>
        <w:rPr>
          <w:rFonts w:ascii="Arial" w:cs="Arial" w:eastAsia="Arial" w:hAnsi="Arial"/>
          <w:b/>
          <w:bCs/>
          <w:color w:val="0d0d1a"/>
          <w:sz w:val="40"/>
          <w:szCs w:val="40"/>
        </w:rPr>
        <w:t>How Swiss Residency Fits the Vela Protocol Timeline</w:t>
      </w:r>
    </w:p>
    <w:p>
      <w:pPr>
        <w:spacing w:before="60" w:after="100"/>
      </w:pPr>
      <w:r>
        <w:rPr>
          <w:rFonts w:ascii="Arial" w:cs="Arial" w:eastAsia="Arial" w:hAnsi="Arial"/>
          <w:color w:val="333333"/>
          <w:sz w:val="22"/>
          <w:szCs w:val="22"/>
        </w:rPr>
        <w:t xml:space="preserve">The question is not whether to return to Switzerland. The question is when. Here is how it fits the build plan.</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3240"/>
        <w:gridCol w:w="4680"/>
      </w:tblGrid>
      <w:tr>
        <w:tc>
          <w:tcPr>
            <w:tcW w:type="dxa" w:w="144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Timing</w:t>
            </w:r>
          </w:p>
        </w:tc>
        <w:tc>
          <w:tcPr>
            <w:tcW w:type="dxa" w:w="324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What to do</w:t>
            </w:r>
          </w:p>
        </w:tc>
        <w:tc>
          <w:tcPr>
            <w:tcW w:type="dxa" w:w="468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Why this moment</w:t>
            </w:r>
          </w:p>
        </w:tc>
      </w:tr>
      <w:tr>
        <w:tc>
          <w:tcPr>
            <w:tcW w:type="dxa" w:w="14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534AB7"/>
                <w:sz w:val="19"/>
                <w:szCs w:val="19"/>
              </w:rPr>
              <w:t xml:space="preserve">Right now</w:t>
            </w:r>
          </w:p>
          <w:p>
            <w:r>
              <w:rPr>
                <w:rFonts w:ascii="Arial" w:cs="Arial" w:eastAsia="Arial" w:hAnsi="Arial"/>
                <w:b w:val="false"/>
                <w:bCs w:val="false"/>
                <w:color w:val="534AB7"/>
                <w:sz w:val="19"/>
                <w:szCs w:val="19"/>
              </w:rPr>
              <w:t xml:space="preserve">(from abroad)</w:t>
            </w:r>
          </w:p>
        </w:tc>
        <w:tc>
          <w:tcPr>
            <w:tcW w:type="dxa" w:w="32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0d0d1a"/>
                <w:sz w:val="20"/>
                <w:szCs w:val="20"/>
              </w:rPr>
              <w:t xml:space="preserve">Register Wyoming LLC. Build everything through Phase 2.</w:t>
            </w:r>
          </w:p>
        </w:tc>
        <w:tc>
          <w:tcPr>
            <w:tcW w:type="dxa" w:w="468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No cost pressure. Build the product first. Reach 10,000 search users.</w:t>
            </w:r>
          </w:p>
        </w:tc>
      </w:tr>
      <w:tr>
        <w:tc>
          <w:tcPr>
            <w:tcW w:type="dxa" w:w="144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534AB7"/>
                <w:sz w:val="19"/>
                <w:szCs w:val="19"/>
              </w:rPr>
              <w:t xml:space="preserve">Month 3–5</w:t>
            </w:r>
          </w:p>
          <w:p>
            <w:r>
              <w:rPr>
                <w:rFonts w:ascii="Arial" w:cs="Arial" w:eastAsia="Arial" w:hAnsi="Arial"/>
                <w:b w:val="false"/>
                <w:bCs w:val="false"/>
                <w:color w:val="534AB7"/>
                <w:sz w:val="19"/>
                <w:szCs w:val="19"/>
              </w:rPr>
              <w:t xml:space="preserve">(Vela live)</w:t>
            </w:r>
          </w:p>
        </w:tc>
        <w:tc>
          <w:tcPr>
            <w:tcW w:type="dxa" w:w="324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0d0d1a"/>
                <w:sz w:val="20"/>
                <w:szCs w:val="20"/>
              </w:rPr>
              <w:t xml:space="preserve">Vela revenue covers living costs. Plan the move.</w:t>
            </w:r>
          </w:p>
        </w:tc>
        <w:tc>
          <w:tcPr>
            <w:tcW w:type="dxa" w:w="468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444444"/>
                <w:sz w:val="20"/>
                <w:szCs w:val="20"/>
              </w:rPr>
              <w:t xml:space="preserve">With 265+ Vela subscribers you can afford Geneva minimum. Move when the money supports it.</w:t>
            </w:r>
          </w:p>
        </w:tc>
      </w:tr>
      <w:tr>
        <w:tc>
          <w:tcPr>
            <w:tcW w:type="dxa" w:w="14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534AB7"/>
                <w:sz w:val="19"/>
                <w:szCs w:val="19"/>
              </w:rPr>
              <w:t xml:space="preserve">Month 5–6</w:t>
            </w:r>
          </w:p>
          <w:p>
            <w:r>
              <w:rPr>
                <w:rFonts w:ascii="Arial" w:cs="Arial" w:eastAsia="Arial" w:hAnsi="Arial"/>
                <w:b w:val="false"/>
                <w:bCs w:val="false"/>
                <w:color w:val="534AB7"/>
                <w:sz w:val="19"/>
                <w:szCs w:val="19"/>
              </w:rPr>
              <w:t xml:space="preserve">(move)</w:t>
            </w:r>
          </w:p>
        </w:tc>
        <w:tc>
          <w:tcPr>
            <w:tcW w:type="dxa" w:w="32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0d0d1a"/>
                <w:sz w:val="20"/>
                <w:szCs w:val="20"/>
              </w:rPr>
              <w:t xml:space="preserve">Arrive in Switzerland. Register commune. Register GmbH. Approach FONGIT.</w:t>
            </w:r>
          </w:p>
        </w:tc>
        <w:tc>
          <w:tcPr>
            <w:tcW w:type="dxa" w:w="468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Swiss GmbH gives you Proton credibility. FONGIT application becomes possible. Swiss banking opens.</w:t>
            </w:r>
          </w:p>
        </w:tc>
      </w:tr>
      <w:tr>
        <w:tc>
          <w:tcPr>
            <w:tcW w:type="dxa" w:w="144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534AB7"/>
                <w:sz w:val="19"/>
                <w:szCs w:val="19"/>
              </w:rPr>
              <w:t xml:space="preserve">Month 6–7</w:t>
            </w:r>
          </w:p>
          <w:p>
            <w:r>
              <w:rPr>
                <w:rFonts w:ascii="Arial" w:cs="Arial" w:eastAsia="Arial" w:hAnsi="Arial"/>
                <w:b w:val="false"/>
                <w:bCs w:val="false"/>
                <w:color w:val="534AB7"/>
                <w:sz w:val="19"/>
                <w:szCs w:val="19"/>
              </w:rPr>
              <w:t xml:space="preserve">(established)</w:t>
            </w:r>
          </w:p>
        </w:tc>
        <w:tc>
          <w:tcPr>
            <w:tcW w:type="dxa" w:w="324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0d0d1a"/>
                <w:sz w:val="20"/>
                <w:szCs w:val="20"/>
              </w:rPr>
              <w:t xml:space="preserve">FONGIT application submitted. Proton formal outreach begins. Swiss angel conversations.</w:t>
            </w:r>
          </w:p>
        </w:tc>
        <w:tc>
          <w:tcPr>
            <w:tcW w:type="dxa" w:w="468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444444"/>
                <w:sz w:val="20"/>
                <w:szCs w:val="20"/>
              </w:rPr>
              <w:t xml:space="preserve">You are now a peer in the Swiss ecosystem. Not a foreign project. A Swiss founder building in Switzerland.</w:t>
            </w:r>
          </w:p>
        </w:tc>
      </w:tr>
      <w:tr>
        <w:tc>
          <w:tcPr>
            <w:tcW w:type="dxa" w:w="14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534AB7"/>
                <w:sz w:val="19"/>
                <w:szCs w:val="19"/>
              </w:rPr>
              <w:t xml:space="preserve">Month 8–9</w:t>
            </w:r>
          </w:p>
          <w:p>
            <w:r>
              <w:rPr>
                <w:rFonts w:ascii="Arial" w:cs="Arial" w:eastAsia="Arial" w:hAnsi="Arial"/>
                <w:b w:val="false"/>
                <w:bCs w:val="false"/>
                <w:color w:val="534AB7"/>
                <w:sz w:val="19"/>
                <w:szCs w:val="19"/>
              </w:rPr>
              <w:t xml:space="preserve">(launch)</w:t>
            </w:r>
          </w:p>
        </w:tc>
        <w:tc>
          <w:tcPr>
            <w:tcW w:type="dxa" w:w="32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0d0d1a"/>
                <w:sz w:val="20"/>
                <w:szCs w:val="20"/>
              </w:rPr>
              <w:t xml:space="preserve">Full public launch. Wallet beta. Proton integration if ready. Swiss press coverage.</w:t>
            </w:r>
          </w:p>
        </w:tc>
        <w:tc>
          <w:tcPr>
            <w:tcW w:type="dxa" w:w="468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Being Swiss and resident in Switzerland when the wallet launches matters legally and reputationally.</w:t>
            </w:r>
          </w:p>
        </w:tc>
      </w:tr>
    </w:tbl>
    <w:p>
      <w:pPr>
        <w:pBdr>
          <w:bottom w:val="single" w:color="1D9E75" w:sz="6" w:space="1"/>
        </w:pBdr>
        <w:spacing w:before="160" w:after="160"/>
      </w:pPr>
      <w:r>
        <w:t xml:space="preserve"/>
      </w:r>
    </w:p>
    <w:p>
      <w:r>
        <w:br w:type="page"/>
      </w:r>
    </w:p>
    <w:p>
      <w:pPr>
        <w:pStyle w:val="Heading1"/>
        <w:spacing w:before="480" w:after="120"/>
      </w:pPr>
      <w:r>
        <w:rPr>
          <w:rFonts w:ascii="Arial" w:cs="Arial" w:eastAsia="Arial" w:hAnsi="Arial"/>
          <w:b/>
          <w:bCs/>
          <w:color w:val="0d0d1a"/>
          <w:sz w:val="40"/>
          <w:szCs w:val="40"/>
        </w:rPr>
        <w:t xml:space="preserve">What You Do NOT Need to Do as a Swiss Citizen</w:t>
      </w:r>
    </w:p>
    <w:p>
      <w:pPr>
        <w:spacing w:before="60" w:after="100"/>
      </w:pPr>
      <w:r>
        <w:rPr>
          <w:rFonts w:ascii="Arial" w:cs="Arial" w:eastAsia="Arial" w:hAnsi="Arial"/>
          <w:color w:val="333333"/>
          <w:sz w:val="22"/>
          <w:szCs w:val="22"/>
        </w:rPr>
        <w:t xml:space="preserve">This section exists because immigration information is full of requirements that apply to foreigners but not to you. As a Swiss citizen returning to Switzerland, you are exempt from all of the following.</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DDDDDD" w:sz="1"/>
              <w:left w:val="single" w:color="DDDDDD" w:sz="1"/>
              <w:bottom w:val="single" w:color="DDDDDD" w:sz="1"/>
              <w:right w:val="single" w:color="DDDDDD" w:sz="1"/>
            </w:tcBorders>
            <w:shd w:fill="993C1D" w:val="clear"/>
            <w:tcMar>
              <w:top w:type="dxa" w:w="80"/>
              <w:left w:type="dxa" w:w="120"/>
              <w:bottom w:type="dxa" w:w="80"/>
              <w:right w:type="dxa" w:w="120"/>
            </w:tcMar>
          </w:tcPr>
          <w:p>
            <w:r>
              <w:rPr>
                <w:rFonts w:ascii="Arial" w:cs="Arial" w:eastAsia="Arial" w:hAnsi="Arial"/>
                <w:b/>
                <w:bCs/>
                <w:color w:val="FFFFFF"/>
                <w:sz w:val="20"/>
                <w:szCs w:val="20"/>
              </w:rPr>
              <w:t xml:space="preserve">What foreigners need (NOT you)</w:t>
            </w:r>
          </w:p>
        </w:tc>
        <w:tc>
          <w:tcPr>
            <w:tcW w:type="dxa" w:w="4680"/>
            <w:tcBorders>
              <w:top w:val="single" w:color="DDDDDD" w:sz="1"/>
              <w:left w:val="single" w:color="DDDDDD" w:sz="1"/>
              <w:bottom w:val="single" w:color="DDDDDD" w:sz="1"/>
              <w:right w:val="single" w:color="DDDDDD" w:sz="1"/>
            </w:tcBorders>
            <w:shd w:fill="1D9E75" w:val="clear"/>
            <w:tcMar>
              <w:top w:type="dxa" w:w="80"/>
              <w:left w:type="dxa" w:w="120"/>
              <w:bottom w:type="dxa" w:w="80"/>
              <w:right w:type="dxa" w:w="120"/>
            </w:tcMar>
          </w:tcPr>
          <w:p>
            <w:r>
              <w:rPr>
                <w:rFonts w:ascii="Arial" w:cs="Arial" w:eastAsia="Arial" w:hAnsi="Arial"/>
                <w:b/>
                <w:bCs/>
                <w:color w:val="FFFFFF"/>
                <w:sz w:val="20"/>
                <w:szCs w:val="20"/>
              </w:rPr>
              <w:t xml:space="preserve">What you actually need (Swiss citizen)</w:t>
            </w:r>
          </w:p>
        </w:tc>
      </w:tr>
      <w:tr>
        <w:tc>
          <w:tcPr>
            <w:tcW w:type="dxa" w:w="4680"/>
            <w:tcBorders>
              <w:top w:val="single" w:color="DDDDDD" w:sz="1"/>
              <w:left w:val="single" w:color="DDDDDD" w:sz="1"/>
              <w:bottom w:val="single" w:color="DDDDDD" w:sz="1"/>
              <w:right w:val="single" w:color="DDDDDD" w:sz="1"/>
            </w:tcBorders>
            <w:shd w:fill="FFF5F5" w:val="clear"/>
            <w:tcMar>
              <w:top w:type="dxa" w:w="80"/>
              <w:left w:type="dxa" w:w="120"/>
              <w:bottom w:type="dxa" w:w="80"/>
              <w:right w:type="dxa" w:w="120"/>
            </w:tcMar>
          </w:tcPr>
          <w:p>
            <w:r>
              <w:rPr>
                <w:rFonts w:ascii="Arial" w:cs="Arial" w:eastAsia="Arial" w:hAnsi="Arial"/>
                <w:color w:val="993C1D"/>
                <w:sz w:val="20"/>
                <w:szCs w:val="20"/>
              </w:rPr>
              <w:t xml:space="preserve">B permit or C permit application</w:t>
            </w:r>
          </w:p>
        </w:tc>
        <w:tc>
          <w:tcPr>
            <w:tcW w:type="dxa" w:w="468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color w:val="1D9E75"/>
                <w:sz w:val="20"/>
                <w:szCs w:val="20"/>
              </w:rPr>
              <w:t xml:space="preserve">Swiss passport — you already have it</w:t>
            </w:r>
          </w:p>
        </w:tc>
      </w:tr>
      <w:tr>
        <w:tc>
          <w:tcPr>
            <w:tcW w:type="dxa" w:w="4680"/>
            <w:tcBorders>
              <w:top w:val="single" w:color="DDDDDD" w:sz="1"/>
              <w:left w:val="single" w:color="DDDDDD" w:sz="1"/>
              <w:bottom w:val="single" w:color="DDDDDD" w:sz="1"/>
              <w:right w:val="single" w:color="DDDDDD" w:sz="1"/>
            </w:tcBorders>
            <w:shd w:fill="FFECEC" w:val="clear"/>
            <w:tcMar>
              <w:top w:type="dxa" w:w="80"/>
              <w:left w:type="dxa" w:w="120"/>
              <w:bottom w:type="dxa" w:w="80"/>
              <w:right w:type="dxa" w:w="120"/>
            </w:tcMar>
          </w:tcPr>
          <w:p>
            <w:r>
              <w:rPr>
                <w:rFonts w:ascii="Arial" w:cs="Arial" w:eastAsia="Arial" w:hAnsi="Arial"/>
                <w:color w:val="993C1D"/>
                <w:sz w:val="20"/>
                <w:szCs w:val="20"/>
              </w:rPr>
              <w:t xml:space="preserve">Employer sponsorship or job offer</w:t>
            </w:r>
          </w:p>
        </w:tc>
        <w:tc>
          <w:tcPr>
            <w:tcW w:type="dxa" w:w="4680"/>
            <w:tcBorders>
              <w:top w:val="single" w:color="DDDDDD" w:sz="1"/>
              <w:left w:val="single" w:color="DDDDDD" w:sz="1"/>
              <w:bottom w:val="single" w:color="DDDDDD" w:sz="1"/>
              <w:right w:val="single" w:color="DDDDDD" w:sz="1"/>
            </w:tcBorders>
            <w:shd w:fill="F0FAF5" w:val="clear"/>
            <w:tcMar>
              <w:top w:type="dxa" w:w="80"/>
              <w:left w:type="dxa" w:w="120"/>
              <w:bottom w:type="dxa" w:w="80"/>
              <w:right w:type="dxa" w:w="120"/>
            </w:tcMar>
          </w:tcPr>
          <w:p>
            <w:r>
              <w:rPr>
                <w:rFonts w:ascii="Arial" w:cs="Arial" w:eastAsia="Arial" w:hAnsi="Arial"/>
                <w:color w:val="1D9E75"/>
                <w:sz w:val="20"/>
                <w:szCs w:val="20"/>
              </w:rPr>
              <w:t xml:space="preserve">Nothing. You can arrive unemployed and start a company.</w:t>
            </w:r>
          </w:p>
        </w:tc>
      </w:tr>
      <w:tr>
        <w:tc>
          <w:tcPr>
            <w:tcW w:type="dxa" w:w="4680"/>
            <w:tcBorders>
              <w:top w:val="single" w:color="DDDDDD" w:sz="1"/>
              <w:left w:val="single" w:color="DDDDDD" w:sz="1"/>
              <w:bottom w:val="single" w:color="DDDDDD" w:sz="1"/>
              <w:right w:val="single" w:color="DDDDDD" w:sz="1"/>
            </w:tcBorders>
            <w:shd w:fill="FFF5F5" w:val="clear"/>
            <w:tcMar>
              <w:top w:type="dxa" w:w="80"/>
              <w:left w:type="dxa" w:w="120"/>
              <w:bottom w:type="dxa" w:w="80"/>
              <w:right w:type="dxa" w:w="120"/>
            </w:tcMar>
          </w:tcPr>
          <w:p>
            <w:r>
              <w:rPr>
                <w:rFonts w:ascii="Arial" w:cs="Arial" w:eastAsia="Arial" w:hAnsi="Arial"/>
                <w:color w:val="993C1D"/>
                <w:sz w:val="20"/>
                <w:szCs w:val="20"/>
              </w:rPr>
              <w:t xml:space="preserve">Quota allocation (only 4,500 B permits/year)</w:t>
            </w:r>
          </w:p>
        </w:tc>
        <w:tc>
          <w:tcPr>
            <w:tcW w:type="dxa" w:w="468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color w:val="1D9E75"/>
                <w:sz w:val="20"/>
                <w:szCs w:val="20"/>
              </w:rPr>
              <w:t xml:space="preserve">Irrelevant. Quotas are for non-EU foreigners only.</w:t>
            </w:r>
          </w:p>
        </w:tc>
      </w:tr>
      <w:tr>
        <w:tc>
          <w:tcPr>
            <w:tcW w:type="dxa" w:w="4680"/>
            <w:tcBorders>
              <w:top w:val="single" w:color="DDDDDD" w:sz="1"/>
              <w:left w:val="single" w:color="DDDDDD" w:sz="1"/>
              <w:bottom w:val="single" w:color="DDDDDD" w:sz="1"/>
              <w:right w:val="single" w:color="DDDDDD" w:sz="1"/>
            </w:tcBorders>
            <w:shd w:fill="FFECEC" w:val="clear"/>
            <w:tcMar>
              <w:top w:type="dxa" w:w="80"/>
              <w:left w:type="dxa" w:w="120"/>
              <w:bottom w:type="dxa" w:w="80"/>
              <w:right w:type="dxa" w:w="120"/>
            </w:tcMar>
          </w:tcPr>
          <w:p>
            <w:r>
              <w:rPr>
                <w:rFonts w:ascii="Arial" w:cs="Arial" w:eastAsia="Arial" w:hAnsi="Arial"/>
                <w:color w:val="993C1D"/>
                <w:sz w:val="20"/>
                <w:szCs w:val="20"/>
              </w:rPr>
              <w:t xml:space="preserve">Labor market test (no Swiss could fill the job)</w:t>
            </w:r>
          </w:p>
        </w:tc>
        <w:tc>
          <w:tcPr>
            <w:tcW w:type="dxa" w:w="4680"/>
            <w:tcBorders>
              <w:top w:val="single" w:color="DDDDDD" w:sz="1"/>
              <w:left w:val="single" w:color="DDDDDD" w:sz="1"/>
              <w:bottom w:val="single" w:color="DDDDDD" w:sz="1"/>
              <w:right w:val="single" w:color="DDDDDD" w:sz="1"/>
            </w:tcBorders>
            <w:shd w:fill="F0FAF5" w:val="clear"/>
            <w:tcMar>
              <w:top w:type="dxa" w:w="80"/>
              <w:left w:type="dxa" w:w="120"/>
              <w:bottom w:type="dxa" w:w="80"/>
              <w:right w:type="dxa" w:w="120"/>
            </w:tcMar>
          </w:tcPr>
          <w:p>
            <w:r>
              <w:rPr>
                <w:rFonts w:ascii="Arial" w:cs="Arial" w:eastAsia="Arial" w:hAnsi="Arial"/>
                <w:color w:val="1D9E75"/>
                <w:sz w:val="20"/>
                <w:szCs w:val="20"/>
              </w:rPr>
              <w:t xml:space="preserve">Not applicable. You are Swiss.</w:t>
            </w:r>
          </w:p>
        </w:tc>
      </w:tr>
      <w:tr>
        <w:tc>
          <w:tcPr>
            <w:tcW w:type="dxa" w:w="4680"/>
            <w:tcBorders>
              <w:top w:val="single" w:color="DDDDDD" w:sz="1"/>
              <w:left w:val="single" w:color="DDDDDD" w:sz="1"/>
              <w:bottom w:val="single" w:color="DDDDDD" w:sz="1"/>
              <w:right w:val="single" w:color="DDDDDD" w:sz="1"/>
            </w:tcBorders>
            <w:shd w:fill="FFF5F5" w:val="clear"/>
            <w:tcMar>
              <w:top w:type="dxa" w:w="80"/>
              <w:left w:type="dxa" w:w="120"/>
              <w:bottom w:type="dxa" w:w="80"/>
              <w:right w:type="dxa" w:w="120"/>
            </w:tcMar>
          </w:tcPr>
          <w:p>
            <w:r>
              <w:rPr>
                <w:rFonts w:ascii="Arial" w:cs="Arial" w:eastAsia="Arial" w:hAnsi="Arial"/>
                <w:color w:val="993C1D"/>
                <w:sz w:val="20"/>
                <w:szCs w:val="20"/>
              </w:rPr>
              <w:t xml:space="preserve">Proof of financial resources for entry</w:t>
            </w:r>
          </w:p>
        </w:tc>
        <w:tc>
          <w:tcPr>
            <w:tcW w:type="dxa" w:w="468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color w:val="1D9E75"/>
                <w:sz w:val="20"/>
                <w:szCs w:val="20"/>
              </w:rPr>
              <w:t xml:space="preserve">Not required for Swiss citizens.</w:t>
            </w:r>
          </w:p>
        </w:tc>
      </w:tr>
      <w:tr>
        <w:tc>
          <w:tcPr>
            <w:tcW w:type="dxa" w:w="4680"/>
            <w:tcBorders>
              <w:top w:val="single" w:color="DDDDDD" w:sz="1"/>
              <w:left w:val="single" w:color="DDDDDD" w:sz="1"/>
              <w:bottom w:val="single" w:color="DDDDDD" w:sz="1"/>
              <w:right w:val="single" w:color="DDDDDD" w:sz="1"/>
            </w:tcBorders>
            <w:shd w:fill="FFECEC" w:val="clear"/>
            <w:tcMar>
              <w:top w:type="dxa" w:w="80"/>
              <w:left w:type="dxa" w:w="120"/>
              <w:bottom w:type="dxa" w:w="80"/>
              <w:right w:type="dxa" w:w="120"/>
            </w:tcMar>
          </w:tcPr>
          <w:p>
            <w:r>
              <w:rPr>
                <w:rFonts w:ascii="Arial" w:cs="Arial" w:eastAsia="Arial" w:hAnsi="Arial"/>
                <w:color w:val="993C1D"/>
                <w:sz w:val="20"/>
                <w:szCs w:val="20"/>
              </w:rPr>
              <w:t xml:space="preserve">University or research partner for some grants</w:t>
            </w:r>
          </w:p>
        </w:tc>
        <w:tc>
          <w:tcPr>
            <w:tcW w:type="dxa" w:w="4680"/>
            <w:tcBorders>
              <w:top w:val="single" w:color="DDDDDD" w:sz="1"/>
              <w:left w:val="single" w:color="DDDDDD" w:sz="1"/>
              <w:bottom w:val="single" w:color="DDDDDD" w:sz="1"/>
              <w:right w:val="single" w:color="DDDDDD" w:sz="1"/>
            </w:tcBorders>
            <w:shd w:fill="F0FAF5" w:val="clear"/>
            <w:tcMar>
              <w:top w:type="dxa" w:w="80"/>
              <w:left w:type="dxa" w:w="120"/>
              <w:bottom w:type="dxa" w:w="80"/>
              <w:right w:type="dxa" w:w="120"/>
            </w:tcMar>
          </w:tcPr>
          <w:p>
            <w:r>
              <w:rPr>
                <w:rFonts w:ascii="Arial" w:cs="Arial" w:eastAsia="Arial" w:hAnsi="Arial"/>
                <w:color w:val="1D9E75"/>
                <w:sz w:val="20"/>
                <w:szCs w:val="20"/>
              </w:rPr>
              <w:t xml:space="preserve">Helpful but not mandatory for FONGIT applications.</w:t>
            </w:r>
          </w:p>
        </w:tc>
      </w:tr>
      <w:tr>
        <w:tc>
          <w:tcPr>
            <w:tcW w:type="dxa" w:w="4680"/>
            <w:tcBorders>
              <w:top w:val="single" w:color="DDDDDD" w:sz="1"/>
              <w:left w:val="single" w:color="DDDDDD" w:sz="1"/>
              <w:bottom w:val="single" w:color="DDDDDD" w:sz="1"/>
              <w:right w:val="single" w:color="DDDDDD" w:sz="1"/>
            </w:tcBorders>
            <w:shd w:fill="FFF5F5" w:val="clear"/>
            <w:tcMar>
              <w:top w:type="dxa" w:w="80"/>
              <w:left w:type="dxa" w:w="120"/>
              <w:bottom w:type="dxa" w:w="80"/>
              <w:right w:type="dxa" w:w="120"/>
            </w:tcMar>
          </w:tcPr>
          <w:p>
            <w:r>
              <w:rPr>
                <w:rFonts w:ascii="Arial" w:cs="Arial" w:eastAsia="Arial" w:hAnsi="Arial"/>
                <w:color w:val="993C1D"/>
                <w:sz w:val="20"/>
                <w:szCs w:val="20"/>
              </w:rPr>
              <w:t xml:space="preserve">Years of residence before company registration</w:t>
            </w:r>
          </w:p>
        </w:tc>
        <w:tc>
          <w:tcPr>
            <w:tcW w:type="dxa" w:w="468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color w:val="1D9E75"/>
                <w:sz w:val="20"/>
                <w:szCs w:val="20"/>
              </w:rPr>
              <w:t xml:space="preserve">Zero. Register GmbH week one after commune registration.</w:t>
            </w:r>
          </w:p>
        </w:tc>
      </w:tr>
      <w:tr>
        <w:tc>
          <w:tcPr>
            <w:tcW w:type="dxa" w:w="4680"/>
            <w:tcBorders>
              <w:top w:val="single" w:color="DDDDDD" w:sz="1"/>
              <w:left w:val="single" w:color="DDDDDD" w:sz="1"/>
              <w:bottom w:val="single" w:color="DDDDDD" w:sz="1"/>
              <w:right w:val="single" w:color="DDDDDD" w:sz="1"/>
            </w:tcBorders>
            <w:shd w:fill="FFECEC" w:val="clear"/>
            <w:tcMar>
              <w:top w:type="dxa" w:w="80"/>
              <w:left w:type="dxa" w:w="120"/>
              <w:bottom w:type="dxa" w:w="80"/>
              <w:right w:type="dxa" w:w="120"/>
            </w:tcMar>
          </w:tcPr>
          <w:p>
            <w:r>
              <w:rPr>
                <w:rFonts w:ascii="Arial" w:cs="Arial" w:eastAsia="Arial" w:hAnsi="Arial"/>
                <w:color w:val="993C1D"/>
                <w:sz w:val="20"/>
                <w:szCs w:val="20"/>
              </w:rPr>
              <w:t xml:space="preserve">Permission to change cantons</w:t>
            </w:r>
          </w:p>
        </w:tc>
        <w:tc>
          <w:tcPr>
            <w:tcW w:type="dxa" w:w="4680"/>
            <w:tcBorders>
              <w:top w:val="single" w:color="DDDDDD" w:sz="1"/>
              <w:left w:val="single" w:color="DDDDDD" w:sz="1"/>
              <w:bottom w:val="single" w:color="DDDDDD" w:sz="1"/>
              <w:right w:val="single" w:color="DDDDDD" w:sz="1"/>
            </w:tcBorders>
            <w:shd w:fill="F0FAF5" w:val="clear"/>
            <w:tcMar>
              <w:top w:type="dxa" w:w="80"/>
              <w:left w:type="dxa" w:w="120"/>
              <w:bottom w:type="dxa" w:w="80"/>
              <w:right w:type="dxa" w:w="120"/>
            </w:tcMar>
          </w:tcPr>
          <w:p>
            <w:r>
              <w:rPr>
                <w:rFonts w:ascii="Arial" w:cs="Arial" w:eastAsia="Arial" w:hAnsi="Arial"/>
                <w:color w:val="1D9E75"/>
                <w:sz w:val="20"/>
                <w:szCs w:val="20"/>
              </w:rPr>
              <w:t xml:space="preserve">None needed. Move anywhere, anytime.</w:t>
            </w:r>
          </w:p>
        </w:tc>
      </w:tr>
    </w:tbl>
    <w:p>
      <w:pPr>
        <w:pBdr>
          <w:bottom w:val="single" w:color="1D9E75" w:sz="6" w:space="1"/>
        </w:pBdr>
        <w:spacing w:before="160" w:after="160"/>
      </w:pPr>
      <w:r>
        <w:t xml:space="preserve"/>
      </w:r>
    </w:p>
    <w:p>
      <w:r>
        <w:br w:type="page"/>
      </w:r>
    </w:p>
    <w:p>
      <w:pPr>
        <w:pStyle w:val="Heading1"/>
        <w:spacing w:before="480" w:after="120"/>
      </w:pPr>
      <w:r>
        <w:rPr>
          <w:rFonts w:ascii="Arial" w:cs="Arial" w:eastAsia="Arial" w:hAnsi="Arial"/>
          <w:b/>
          <w:bCs/>
          <w:color w:val="0d0d1a"/>
          <w:sz w:val="40"/>
          <w:szCs w:val="40"/>
        </w:rPr>
        <w:t xml:space="preserve">One Critical Note: Retaining Your Swiss Citizenship</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
        <w:gridCol w:w="9080"/>
      </w:tblGrid>
      <w:tr>
        <w:tc>
          <w:tcPr>
            <w:tcW w:type="dxa" w:w="280"/>
            <w:tcBorders>
              <w:top w:val="none" w:color="FFFFFF" w:sz="0"/>
              <w:left w:val="none" w:color="FFFFFF" w:sz="0"/>
              <w:bottom w:val="none" w:color="FFFFFF" w:sz="0"/>
              <w:right w:val="none" w:color="FFFFFF" w:sz="0"/>
            </w:tcBorders>
            <w:shd w:fill="854F0B" w:val="clear"/>
            <w:tcMar>
              <w:top w:type="dxa" w:w="80"/>
              <w:left w:type="dxa" w:w="80"/>
              <w:bottom w:type="dxa" w:w="80"/>
              <w:right w:type="dxa" w:w="80"/>
            </w:tcMar>
          </w:tcPr>
          <w:p>
            <w:r>
              <w:t xml:space="preserve"/>
            </w:r>
          </w:p>
        </w:tc>
        <w:tc>
          <w:tcPr>
            <w:tcW w:type="dxa" w:w="9080"/>
            <w:tcBorders>
              <w:top w:val="none" w:color="FFFFFF" w:sz="0"/>
              <w:left w:val="none" w:color="FFFFFF" w:sz="0"/>
              <w:bottom w:val="none" w:color="FFFFFF" w:sz="0"/>
              <w:right w:val="none" w:color="FFFFFF" w:sz="0"/>
            </w:tcBorders>
            <w:shd w:fill="FFF8E8" w:val="clear"/>
            <w:tcMar>
              <w:top w:type="dxa" w:w="120"/>
              <w:left w:type="dxa" w:w="200"/>
              <w:bottom w:type="dxa" w:w="120"/>
              <w:right w:type="dxa" w:w="160"/>
            </w:tcMar>
          </w:tcPr>
          <w:p>
            <w:r>
              <w:rPr>
                <w:rFonts w:ascii="Arial" w:cs="Arial" w:eastAsia="Arial" w:hAnsi="Arial"/>
                <w:i/>
                <w:iCs/>
                <w:color w:val="0d0d1a"/>
                <w:sz w:val="22"/>
                <w:szCs w:val="22"/>
              </w:rPr>
              <w:t xml:space="preserve">If you were born abroad to a Swiss parent and have never registered yourself with Swiss authorities, there is a risk your citizenship could lapse at age 25 if not formally claimed. Read this section carefully.</w:t>
            </w:r>
          </w:p>
        </w:tc>
      </w:tr>
    </w:tbl>
    <w:p>
      <w:pPr>
        <w:spacing w:before="80" w:after="80"/>
      </w:pPr>
      <w:r>
        <w:t xml:space="preserve"/>
      </w:r>
    </w:p>
    <w:p>
      <w:pPr>
        <w:spacing w:before="60" w:after="100"/>
      </w:pPr>
      <w:r>
        <w:rPr>
          <w:rFonts w:ascii="Arial" w:cs="Arial" w:eastAsia="Arial" w:hAnsi="Arial"/>
          <w:color w:val="333333"/>
          <w:sz w:val="22"/>
          <w:szCs w:val="22"/>
        </w:rPr>
        <w:t xml:space="preserve">Swiss citizenship obtained by descent (jus sanguinis — through a Swiss parent) is automatic at birth. But if you were born abroad and your parent did not register your birth with a Swiss representation abroad, and you did not register yourself before age 25, there is a legal mechanism called 'forfeiture of citizenship' that may apply.</w:t>
      </w:r>
    </w:p>
    <w:p>
      <w:pPr>
        <w:spacing w:before="60" w:after="100"/>
      </w:pPr>
      <w:r>
        <w:rPr>
          <w:rFonts w:ascii="Arial" w:cs="Arial" w:eastAsia="Arial" w:hAnsi="Arial"/>
          <w:color w:val="333333"/>
          <w:sz w:val="22"/>
          <w:szCs w:val="22"/>
        </w:rPr>
        <w:t xml:space="preserve">The 2018 Swiss citizenship law created a deadline: if a child born abroad to a Swiss parent has not been registered with Swiss authorities by age 25, citizenship may be forfeited. If this applies to you, the rules are:</w:t>
      </w:r>
    </w:p>
    <w:p>
      <w:pPr>
        <w:pStyle w:val="ListParagraph"/>
        <w:numPr>
          <w:ilvl w:val="0"/>
          <w:numId w:val="2"/>
        </w:numPr>
        <w:spacing w:before="40" w:after="40"/>
      </w:pPr>
      <w:r>
        <w:rPr>
          <w:rFonts w:ascii="Arial" w:cs="Arial" w:eastAsia="Arial" w:hAnsi="Arial"/>
          <w:color w:val="333333"/>
          <w:sz w:val="22"/>
          <w:szCs w:val="22"/>
        </w:rPr>
        <w:t xml:space="preserve">If you are under 25: register immediately with the Swiss consulate or embassy responsible for your area. This is urgent if the deadline is approaching.</w:t>
      </w:r>
    </w:p>
    <w:p>
      <w:pPr>
        <w:pStyle w:val="ListParagraph"/>
        <w:numPr>
          <w:ilvl w:val="0"/>
          <w:numId w:val="2"/>
        </w:numPr>
        <w:spacing w:before="40" w:after="40"/>
      </w:pPr>
      <w:r>
        <w:rPr>
          <w:rFonts w:ascii="Arial" w:cs="Arial" w:eastAsia="Arial" w:hAnsi="Arial"/>
          <w:color w:val="333333"/>
          <w:sz w:val="22"/>
          <w:szCs w:val="22"/>
        </w:rPr>
        <w:t xml:space="preserve">If you are over 25 and your citizenship was forfeited: you have 10 years from forfeiture to apply for reinstatement. You must demonstrate genuine ties to Switzerland and knowledge of Swiss culture and values.</w:t>
      </w:r>
    </w:p>
    <w:p>
      <w:pPr>
        <w:pStyle w:val="ListParagraph"/>
        <w:numPr>
          <w:ilvl w:val="0"/>
          <w:numId w:val="2"/>
        </w:numPr>
        <w:spacing w:before="40" w:after="40"/>
      </w:pPr>
      <w:r>
        <w:rPr>
          <w:rFonts w:ascii="Arial" w:cs="Arial" w:eastAsia="Arial" w:hAnsi="Arial"/>
          <w:color w:val="333333"/>
          <w:sz w:val="22"/>
          <w:szCs w:val="22"/>
        </w:rPr>
        <w:t xml:space="preserve">If your citizenship is confirmed intact: none of this applies. You are fully Swiss and can return at any time with no process beyond registering with your commune.</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
        <w:gridCol w:w="9080"/>
      </w:tblGrid>
      <w:tr>
        <w:tc>
          <w:tcPr>
            <w:tcW w:type="dxa" w:w="280"/>
            <w:tcBorders>
              <w:top w:val="none" w:color="FFFFFF" w:sz="0"/>
              <w:left w:val="none" w:color="FFFFFF" w:sz="0"/>
              <w:bottom w:val="none" w:color="FFFFFF" w:sz="0"/>
              <w:right w:val="none" w:color="FFFFFF" w:sz="0"/>
            </w:tcBorders>
            <w:shd w:fill="185FA5" w:val="clear"/>
            <w:tcMar>
              <w:top w:type="dxa" w:w="80"/>
              <w:left w:type="dxa" w:w="80"/>
              <w:bottom w:type="dxa" w:w="80"/>
              <w:right w:type="dxa" w:w="80"/>
            </w:tcMar>
          </w:tcPr>
          <w:p>
            <w:r>
              <w:t xml:space="preserve"/>
            </w:r>
          </w:p>
        </w:tc>
        <w:tc>
          <w:tcPr>
            <w:tcW w:type="dxa" w:w="9080"/>
            <w:tcBorders>
              <w:top w:val="none" w:color="FFFFFF" w:sz="0"/>
              <w:left w:val="none" w:color="FFFFFF" w:sz="0"/>
              <w:bottom w:val="none" w:color="FFFFFF" w:sz="0"/>
              <w:right w:val="none" w:color="FFFFFF" w:sz="0"/>
            </w:tcBorders>
            <w:shd w:fill="E6F1FB" w:val="clear"/>
            <w:tcMar>
              <w:top w:type="dxa" w:w="120"/>
              <w:left w:type="dxa" w:w="200"/>
              <w:bottom w:type="dxa" w:w="120"/>
              <w:right w:type="dxa" w:w="160"/>
            </w:tcMar>
          </w:tcPr>
          <w:p>
            <w:r>
              <w:rPr>
                <w:rFonts w:ascii="Arial" w:cs="Arial" w:eastAsia="Arial" w:hAnsi="Arial"/>
                <w:i/>
                <w:iCs/>
                <w:color w:val="0d0d1a"/>
                <w:sz w:val="22"/>
                <w:szCs w:val="22"/>
              </w:rPr>
              <w:t xml:space="preserve">How to check your citizenship status: Contact the Swiss consulate or embassy in your country of residence. Bring your Swiss passport or any Swiss identity documents your parents held. The consulate can confirm your status and the Heimatort (place of origin) that anchors your citizenship.</w:t>
            </w:r>
          </w:p>
        </w:tc>
      </w:tr>
    </w:tbl>
    <w:p>
      <w:pPr>
        <w:spacing w:before="80" w:after="80"/>
      </w:pPr>
      <w:r>
        <w:t xml:space="preserve"/>
      </w:r>
    </w:p>
    <w:p>
      <w:pPr>
        <w:spacing w:before="60" w:after="100"/>
      </w:pPr>
      <w:r>
        <w:rPr>
          <w:rFonts w:ascii="Arial" w:cs="Arial" w:eastAsia="Arial" w:hAnsi="Arial"/>
          <w:color w:val="333333"/>
          <w:sz w:val="22"/>
          <w:szCs w:val="22"/>
        </w:rPr>
        <w:t xml:space="preserve">If your citizenship is intact — which is the most likely situation if you hold a valid Swiss passport — then none of the above is a concern. You are simply a Swiss citizen abroad who has the unconditional right to come home.</w:t>
      </w:r>
    </w:p>
    <w:p>
      <w:pPr>
        <w:pBdr>
          <w:bottom w:val="single" w:color="1D9E75" w:sz="6" w:space="1"/>
        </w:pBdr>
        <w:spacing w:before="160" w:after="160"/>
      </w:pPr>
      <w:r>
        <w:t xml:space="preserve"/>
      </w:r>
    </w:p>
    <w:p>
      <w:r>
        <w:br w:type="page"/>
      </w:r>
    </w:p>
    <w:p>
      <w:pPr>
        <w:pStyle w:val="Heading1"/>
        <w:spacing w:before="480" w:after="120"/>
      </w:pPr>
      <w:r>
        <w:rPr>
          <w:rFonts w:ascii="Arial" w:cs="Arial" w:eastAsia="Arial" w:hAnsi="Arial"/>
          <w:b/>
          <w:bCs/>
          <w:color w:val="0d0d1a"/>
          <w:sz w:val="40"/>
          <w:szCs w:val="40"/>
        </w:rPr>
        <w:t xml:space="preserve">The Bottom Line</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
        <w:gridCol w:w="9080"/>
      </w:tblGrid>
      <w:tr>
        <w:tc>
          <w:tcPr>
            <w:tcW w:type="dxa" w:w="280"/>
            <w:tcBorders>
              <w:top w:val="none" w:color="FFFFFF" w:sz="0"/>
              <w:left w:val="none" w:color="FFFFFF" w:sz="0"/>
              <w:bottom w:val="none" w:color="FFFFFF" w:sz="0"/>
              <w:right w:val="none" w:color="FFFFFF" w:sz="0"/>
            </w:tcBorders>
            <w:shd w:fill="1D9E75" w:val="clear"/>
            <w:tcMar>
              <w:top w:type="dxa" w:w="80"/>
              <w:left w:type="dxa" w:w="80"/>
              <w:bottom w:type="dxa" w:w="80"/>
              <w:right w:type="dxa" w:w="80"/>
            </w:tcMar>
          </w:tcPr>
          <w:p>
            <w:r>
              <w:t xml:space="preserve"/>
            </w:r>
          </w:p>
        </w:tc>
        <w:tc>
          <w:tcPr>
            <w:tcW w:type="dxa" w:w="908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i/>
                <w:iCs/>
                <w:color w:val="0d0d1a"/>
                <w:sz w:val="22"/>
                <w:szCs w:val="22"/>
              </w:rPr>
              <w:t xml:space="preserve">Wyoming LLC now. Build the search engine. Get Vela to 265 subscribers. Then return to Switzerland. Register in Geneva. Set up the GmbH. Approach FONGIT. Call Proton. Launch the wallet from Swiss soil. That is the plan.</w:t>
            </w:r>
          </w:p>
        </w:tc>
      </w:tr>
    </w:tbl>
    <w:p>
      <w:pPr>
        <w:spacing w:before="80" w:after="80"/>
      </w:pPr>
      <w:r>
        <w:t xml:space="preserve"/>
      </w:r>
    </w:p>
    <w:p>
      <w:pPr>
        <w:spacing w:before="60" w:after="100"/>
      </w:pPr>
      <w:r>
        <w:rPr>
          <w:rFonts w:ascii="Arial" w:cs="Arial" w:eastAsia="Arial" w:hAnsi="Arial"/>
          <w:color w:val="333333"/>
          <w:sz w:val="22"/>
          <w:szCs w:val="22"/>
        </w:rPr>
        <w:t xml:space="preserve">The difference between where you are now and being a Swiss resident is not a legal process. It is a flight and a flat. The moment you register with your commune, every door that is currently complicated becomes straightforward. The Swiss GmbH, the Swiss banking, the FONGIT application, the Proton peer relationship, the Swiss press coverage — all of it.</w:t>
      </w:r>
    </w:p>
    <w:p>
      <w:pPr>
        <w:spacing w:before="60" w:after="100"/>
      </w:pPr>
      <w:r>
        <w:rPr>
          <w:rFonts w:ascii="Arial" w:cs="Arial" w:eastAsia="Arial" w:hAnsi="Arial"/>
          <w:color w:val="333333"/>
          <w:sz w:val="22"/>
          <w:szCs w:val="22"/>
        </w:rPr>
        <w:t xml:space="preserve">You did not lose your Swiss identity by living abroad. Switzerland kept it waiting for you. The commune registration takes one morning. The GmbH takes three weeks. The FONGIT application takes six weeks. The Proton meeting could happen in month seven.</w:t>
      </w:r>
    </w:p>
    <w:p>
      <w:pPr>
        <w:spacing w:before="60" w:after="100"/>
      </w:pPr>
      <w:r>
        <w:rPr>
          <w:rFonts w:ascii="Arial" w:cs="Arial" w:eastAsia="Arial" w:hAnsi="Arial"/>
          <w:color w:val="333333"/>
          <w:sz w:val="22"/>
          <w:szCs w:val="22"/>
        </w:rPr>
        <w:t xml:space="preserve">From that moment, you are not building a privacy web from outside Switzerland trying to reach a Swiss company. You are a Swiss founder, in Geneva, building the next layer of the same thing CERN built, registered in the same city as Proton, funded by the same foundation that funded Proton, having a peer conversation with Andy Yen about what comes next.</w:t>
      </w:r>
    </w:p>
    <w:p>
      <w:pPr>
        <w:spacing w:before="80" w:after="80"/>
      </w:pPr>
      <w:r>
        <w:t xml:space="preserve"/>
      </w:r>
    </w:p>
    <w:p>
      <w:pPr>
        <w:pBdr>
          <w:top w:val="single" w:color="1D9E75" w:sz="8" w:space="6"/>
          <w:bottom w:val="single" w:color="1D9E75" w:sz="8" w:space="6"/>
        </w:pBdr>
        <w:spacing w:before="300" w:after="120"/>
        <w:jc w:val="center"/>
      </w:pPr>
      <w:r>
        <w:rPr>
          <w:rFonts w:ascii="Arial" w:cs="Arial" w:eastAsia="Arial" w:hAnsi="Arial"/>
          <w:b/>
          <w:bCs/>
          <w:color w:val="0d0d1a"/>
          <w:sz w:val="26"/>
          <w:szCs w:val="26"/>
        </w:rPr>
        <w:br/>
        <w:t xml:space="preserve">A Swiss citizen can return to Switzerland at any time.</w:t>
      </w:r>
      <w:r>
        <w:rPr>
          <w:rFonts w:ascii="Arial" w:cs="Arial" w:eastAsia="Arial" w:hAnsi="Arial"/>
          <w:i/>
          <w:iCs/>
          <w:color w:val="555555"/>
          <w:sz w:val="22"/>
          <w:szCs w:val="22"/>
        </w:rPr>
        <w:br/>
        <w:t xml:space="preserve">No visa. No quota. No application. No permission.</w:t>
      </w:r>
      <w:r>
        <w:rPr>
          <w:rFonts w:ascii="Arial" w:cs="Arial" w:eastAsia="Arial" w:hAnsi="Arial"/>
          <w:b/>
          <w:bCs/>
          <w:color w:val="1D9E75"/>
          <w:sz w:val="32"/>
          <w:szCs w:val="32"/>
        </w:rPr>
        <w:br/>
        <w:t xml:space="preserve">Just go home.</w:t>
      </w:r>
    </w:p>
    <w:p>
      <w:pPr>
        <w:spacing w:before="80" w:after="80"/>
      </w:pPr>
      <w:r>
        <w:t xml:space="preserve"/>
      </w:r>
    </w:p>
    <w:p>
      <w:pPr>
        <w:spacing w:before="200" w:after="0"/>
        <w:jc w:val="center"/>
      </w:pPr>
      <w:r>
        <w:rPr>
          <w:rFonts w:ascii="Arial" w:cs="Arial" w:eastAsia="Arial" w:hAnsi="Arial"/>
          <w:color w:val="AAAAAA"/>
          <w:sz w:val="18"/>
          <w:szCs w:val="18"/>
        </w:rPr>
        <w:t>Vela Protocol — the developer hub for Velcro Wallet and future related AI and Web3 projects — Swiss Residency Guide — March 2026 — Confidential</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80" w:after="120"/>
      <w:outlineLvl w:val="0"/>
    </w:pPr>
    <w:rPr>
      <w:rFonts w:ascii="Arial" w:cs="Arial" w:eastAsia="Arial" w:hAnsi="Arial"/>
      <w:b/>
      <w:bCs/>
      <w:sz w:val="40"/>
      <w:szCs w:val="40"/>
    </w:rPr>
  </w:style>
  <w:style w:type="paragraph" w:styleId="Heading2">
    <w:name w:val="Heading 2"/>
    <w:basedOn w:val="Normal"/>
    <w:next w:val="Normal"/>
    <w:qFormat/>
    <w:pPr>
      <w:spacing w:before="320" w:after="80"/>
      <w:outlineLvl w:val="1"/>
    </w:pPr>
    <w:rPr>
      <w:rFonts w:ascii="Arial" w:cs="Arial" w:eastAsia="Arial" w:hAnsi="Arial"/>
      <w:b/>
      <w:bCs/>
      <w:sz w:val="28"/>
      <w:szCs w:val="28"/>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2026-03-29T21:29:23.479Z</dcterms:created>
  <dcterms:modified xsi:type="dcterms:W3CDTF">2026-03-29T21:29:23.480Z</dcterms:modified>
</cp:coreProperties>
</file>

<file path=docProps/custom.xml><?xml version="1.0" encoding="utf-8"?>
<Properties xmlns="http://schemas.openxmlformats.org/officeDocument/2006/custom-properties" xmlns:vt="http://schemas.openxmlformats.org/officeDocument/2006/docPropsVTypes"/>
</file>