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60" w:before="200" w:line="360"/>
        <w:jc w:val="center"/>
      </w:pPr>
      <w:r>
        <w:rPr>
          <w:rFonts w:ascii="Times New Roman" w:cs="Times New Roman" w:eastAsia="Times New Roman" w:hAnsi="Times New Roman"/>
          <w:b/>
          <w:bCs/>
          <w:sz w:val="36"/>
          <w:szCs w:val="36"/>
          <w:u w:val="single"/>
        </w:rPr>
        <w:t xml:space="preserve">OSMANIA UNIVERSITY</w:t>
      </w:r>
    </w:p>
    <w:p>
      <w:pPr>
        <w:spacing w:after="160" w:before="200" w:line="360"/>
        <w:jc w:val="center"/>
      </w:pPr>
      <w:r>
        <w:rPr>
          <w:rFonts w:ascii="Times New Roman" w:cs="Times New Roman" w:eastAsia="Times New Roman" w:hAnsi="Times New Roman"/>
          <w:b/>
          <w:bCs/>
          <w:sz w:val="32"/>
          <w:szCs w:val="32"/>
          <w:u w:val="single"/>
        </w:rPr>
        <w:t xml:space="preserve">FACULTY OF LAW</w:t>
      </w:r>
    </w:p>
    <w:p>
      <w:pPr>
        <w:spacing w:after="0" w:before="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color w:val="000000"/>
          <w:sz w:val="24"/>
          <w:szCs w:val="24"/>
        </w:rPr>
        <w:t xml:space="preserve">HYDERABAD — 500 007</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60" w:before="200" w:line="360"/>
        <w:jc w:val="center"/>
      </w:pPr>
      <w:r>
        <w:rPr>
          <w:rFonts w:ascii="Times New Roman" w:cs="Times New Roman" w:eastAsia="Times New Roman" w:hAnsi="Times New Roman"/>
          <w:b/>
          <w:bCs/>
          <w:sz w:val="36"/>
          <w:szCs w:val="36"/>
          <w:u w:val="single"/>
        </w:rPr>
        <w:t xml:space="preserve">PAPER IV — ALTERNATE DISPUTE RESOLUTION</w:t>
      </w:r>
    </w:p>
    <w:p>
      <w:pPr>
        <w:spacing w:after="160" w:before="200" w:line="360"/>
        <w:jc w:val="center"/>
      </w:pPr>
      <w:r>
        <w:rPr>
          <w:rFonts w:ascii="Times New Roman" w:cs="Times New Roman" w:eastAsia="Times New Roman" w:hAnsi="Times New Roman"/>
          <w:b/>
          <w:bCs/>
          <w:sz w:val="32"/>
          <w:szCs w:val="32"/>
          <w:u w:val="single"/>
        </w:rPr>
        <w:t xml:space="preserve">Paper IV · LL.B. (3-Year Degree Course)</w:t>
      </w:r>
    </w:p>
    <w:p>
      <w:pPr>
        <w:spacing w:after="0" w:before="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color w:val="000000"/>
          <w:sz w:val="28"/>
          <w:szCs w:val="28"/>
        </w:rPr>
        <w:t xml:space="preserve">V Semester · Academic Year 2025–2026</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color w:val="000000"/>
          <w:sz w:val="24"/>
          <w:szCs w:val="24"/>
        </w:rPr>
        <w:t xml:space="preserve">RECORD SUBMITTED IN PARTIAL FULFILMENT OF THE REQUIREMENTS</w:t>
      </w:r>
    </w:p>
    <w:p>
      <w:pPr>
        <w:spacing w:after="120" w:before="0" w:line="360"/>
        <w:jc w:val="center"/>
      </w:pPr>
      <w:r>
        <w:rPr>
          <w:rFonts w:ascii="Times New Roman" w:cs="Times New Roman" w:eastAsia="Times New Roman" w:hAnsi="Times New Roman"/>
          <w:b/>
          <w:bCs/>
          <w:i w:val="false"/>
          <w:iCs w:val="false"/>
          <w:color w:val="000000"/>
          <w:sz w:val="24"/>
          <w:szCs w:val="24"/>
        </w:rPr>
        <w:t xml:space="preserve">FOR THE DEGREE OF LL.B. (3-YEAR DEGREE COURSE)</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color w:val="000000"/>
          <w:sz w:val="24"/>
          <w:szCs w:val="24"/>
        </w:rPr>
        <w:t xml:space="preserve">Submitted by:</w:t>
      </w:r>
    </w:p>
    <w:p>
      <w:pPr>
        <w:spacing w:after="0" w:before="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val="false"/>
          <w:bCs w:val="false"/>
          <w:i w:val="false"/>
          <w:iCs w:val="false"/>
          <w:color w:val="000000"/>
          <w:sz w:val="24"/>
          <w:szCs w:val="24"/>
        </w:rPr>
        <w:t xml:space="preserve">Name      : ___________________________________</w:t>
      </w:r>
    </w:p>
    <w:p>
      <w:pPr>
        <w:spacing w:after="120" w:before="0" w:line="360"/>
        <w:jc w:val="center"/>
      </w:pPr>
      <w:r>
        <w:rPr>
          <w:rFonts w:ascii="Times New Roman" w:cs="Times New Roman" w:eastAsia="Times New Roman" w:hAnsi="Times New Roman"/>
          <w:b w:val="false"/>
          <w:bCs w:val="false"/>
          <w:i w:val="false"/>
          <w:iCs w:val="false"/>
          <w:color w:val="000000"/>
          <w:sz w:val="24"/>
          <w:szCs w:val="24"/>
        </w:rPr>
        <w:t xml:space="preserve">Roll No.   : ___________________________________</w:t>
      </w:r>
    </w:p>
    <w:p>
      <w:pPr>
        <w:spacing w:after="120" w:before="0" w:line="360"/>
        <w:jc w:val="center"/>
      </w:pPr>
      <w:r>
        <w:rPr>
          <w:rFonts w:ascii="Times New Roman" w:cs="Times New Roman" w:eastAsia="Times New Roman" w:hAnsi="Times New Roman"/>
          <w:b w:val="false"/>
          <w:bCs w:val="false"/>
          <w:i w:val="false"/>
          <w:iCs w:val="false"/>
          <w:color w:val="000000"/>
          <w:sz w:val="24"/>
          <w:szCs w:val="24"/>
        </w:rPr>
        <w:t xml:space="preserve">College    : ___________________________________</w:t>
      </w:r>
    </w:p>
    <w:p>
      <w:pPr>
        <w:spacing w:after="120" w:before="0" w:line="360"/>
        <w:jc w:val="center"/>
      </w:pPr>
      <w:r>
        <w:rPr>
          <w:rFonts w:ascii="Times New Roman" w:cs="Times New Roman" w:eastAsia="Times New Roman" w:hAnsi="Times New Roman"/>
          <w:b w:val="false"/>
          <w:bCs w:val="false"/>
          <w:i w:val="false"/>
          <w:iCs w:val="false"/>
          <w:color w:val="000000"/>
          <w:sz w:val="24"/>
          <w:szCs w:val="24"/>
        </w:rPr>
        <w:t xml:space="preserve">Academic Year : 2025 – 2026</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color w:val="000000"/>
          <w:sz w:val="24"/>
          <w:szCs w:val="24"/>
        </w:rPr>
        <w:t xml:space="preserve">Under the Guidance of:</w:t>
      </w:r>
    </w:p>
    <w:p>
      <w:pPr>
        <w:spacing w:after="120" w:before="0" w:line="360"/>
        <w:jc w:val="center"/>
      </w:pPr>
      <w:r>
        <w:rPr>
          <w:rFonts w:ascii="Times New Roman" w:cs="Times New Roman" w:eastAsia="Times New Roman" w:hAnsi="Times New Roman"/>
          <w:b w:val="false"/>
          <w:bCs w:val="false"/>
          <w:i w:val="false"/>
          <w:iCs w:val="false"/>
          <w:color w:val="000000"/>
          <w:sz w:val="24"/>
          <w:szCs w:val="24"/>
        </w:rPr>
        <w:t xml:space="preserve">___________________________________</w:t>
      </w:r>
    </w:p>
    <w:p>
      <w:pPr>
        <w:spacing w:after="120" w:before="0" w:line="360"/>
        <w:jc w:val="center"/>
      </w:pPr>
      <w:r>
        <w:rPr>
          <w:rFonts w:ascii="Times New Roman" w:cs="Times New Roman" w:eastAsia="Times New Roman" w:hAnsi="Times New Roman"/>
          <w:b w:val="false"/>
          <w:bCs w:val="false"/>
          <w:i/>
          <w:iCs/>
          <w:color w:val="000000"/>
          <w:sz w:val="24"/>
          <w:szCs w:val="24"/>
        </w:rPr>
        <w:t xml:space="preserve">(Name of Teacher/Guide)</w:t>
      </w:r>
    </w:p>
    <w:p>
      <w:r>
        <w:br w:type="pag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60" w:before="200" w:line="360"/>
        <w:jc w:val="center"/>
      </w:pPr>
      <w:r>
        <w:rPr>
          <w:rFonts w:ascii="Times New Roman" w:cs="Times New Roman" w:eastAsia="Times New Roman" w:hAnsi="Times New Roman"/>
          <w:b/>
          <w:bCs/>
          <w:sz w:val="36"/>
          <w:szCs w:val="36"/>
          <w:u w:val="single"/>
        </w:rPr>
        <w:t xml:space="preserve">CERTIFICATE</w:t>
      </w:r>
    </w:p>
    <w:p>
      <w:pPr>
        <w:spacing w:after="0" w:before="0"/>
      </w:pPr>
      <w:r>
        <w:rPr>
          <w:rFonts w:ascii="Times New Roman" w:cs="Times New Roman" w:eastAsia="Times New Roman" w:hAnsi="Times New Roman"/>
          <w:sz w:val="24"/>
          <w:szCs w:val="24"/>
        </w:rPr>
        <w:t xml:space="preserve"/>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This is to certify that this Record of Alternate Dispute Resolution (ADR) has been prepared and submitted by the student mentioned below, in partial fulfilment of the requirements for the LL.B. (3-Year Degree Course) Examination of Osmania University, Hyderabad, for the Academic Year 2025–2026.</w:t>
      </w:r>
    </w:p>
    <w:p>
      <w:pPr>
        <w:spacing w:after="0" w:before="0"/>
      </w:pPr>
      <w:r>
        <w:rPr>
          <w:rFonts w:ascii="Times New Roman" w:cs="Times New Roman" w:eastAsia="Times New Roman" w:hAnsi="Times New Roman"/>
          <w:sz w:val="24"/>
          <w:szCs w:val="24"/>
        </w:rPr>
        <w:t xml:space="preserve"/>
      </w:r>
    </w:p>
    <w:p>
      <w:pPr>
        <w:spacing w:after="120" w:before="0" w:line="480"/>
        <w:jc w:val="left"/>
      </w:pPr>
      <w:r>
        <w:rPr>
          <w:rFonts w:ascii="Times New Roman" w:cs="Times New Roman" w:eastAsia="Times New Roman" w:hAnsi="Times New Roman"/>
          <w:b w:val="false"/>
          <w:bCs w:val="false"/>
          <w:i w:val="false"/>
          <w:iCs w:val="false"/>
          <w:color w:val="000000"/>
          <w:sz w:val="24"/>
          <w:szCs w:val="24"/>
        </w:rPr>
        <w:t xml:space="preserve">The record has been verified and found to be satisfactory.</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Name of Student : ___________________________________</w:t>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Roll Number      : ___________________________________</w:t>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College              : ___________________________________</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Date: _______________</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Teacher In-charge / Guide                                                                 Principal</w:t>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(Signature &amp; Seal)                                                                              (Signature &amp; Seal)</w:t>
      </w:r>
    </w:p>
    <w:p>
      <w:pPr>
        <w:spacing w:after="0" w:before="0"/>
      </w:pPr>
      <w:r>
        <w:rPr>
          <w:rFonts w:ascii="Times New Roman" w:cs="Times New Roman" w:eastAsia="Times New Roman" w:hAnsi="Times New Roman"/>
          <w:sz w:val="24"/>
          <w:szCs w:val="24"/>
        </w:rPr>
        <w:t xml:space="preserve"/>
      </w:r>
    </w:p>
    <w:p>
      <w:pPr>
        <w:spacing w:after="0" w:before="0"/>
      </w:pPr>
      <w:r>
        <w:rPr>
          <w:rFonts w:ascii="Times New Roman" w:cs="Times New Roman" w:eastAsia="Times New Roman" w:hAnsi="Times New Roman"/>
          <w:sz w:val="24"/>
          <w:szCs w:val="24"/>
        </w:rPr>
        <w:t xml:space="preserve"/>
      </w:r>
    </w:p>
    <w:p>
      <w:pPr>
        <w:spacing w:after="120" w:before="0" w:line="360"/>
        <w:jc w:val="left"/>
      </w:pPr>
      <w:r>
        <w:rPr>
          <w:rFonts w:ascii="Times New Roman" w:cs="Times New Roman" w:eastAsia="Times New Roman" w:hAnsi="Times New Roman"/>
          <w:b w:val="false"/>
          <w:bCs w:val="false"/>
          <w:i w:val="false"/>
          <w:iCs w:val="false"/>
          <w:color w:val="000000"/>
          <w:sz w:val="24"/>
          <w:szCs w:val="24"/>
        </w:rPr>
        <w:t xml:space="preserve">University Representative (Signature &amp; Seal): ___________________________________</w:t>
      </w:r>
    </w:p>
    <w:p>
      <w:r>
        <w:br w:type="page"/>
      </w:r>
    </w:p>
    <w:p>
      <w:pPr>
        <w:spacing w:after="160" w:before="200" w:line="360"/>
        <w:jc w:val="center"/>
      </w:pPr>
      <w:r>
        <w:rPr>
          <w:rFonts w:ascii="Times New Roman" w:cs="Times New Roman" w:eastAsia="Times New Roman" w:hAnsi="Times New Roman"/>
          <w:b/>
          <w:bCs/>
          <w:sz w:val="36"/>
          <w:szCs w:val="36"/>
          <w:u w:val="single"/>
        </w:rPr>
        <w:t xml:space="preserve">INDEX</w:t>
      </w:r>
    </w:p>
    <w:p>
      <w:pPr>
        <w:spacing w:after="0" w:before="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00"/>
        <w:gridCol w:w="5460"/>
        <w:gridCol w:w="1500"/>
        <w:gridCol w:w="1500"/>
      </w:tblGrid>
      <w:tr>
        <w:tc>
          <w:tcPr>
            <w:tcW w:type="dxa" w:w="900"/>
            <w:shd w:fill="D9D9D9" w:val="clear"/>
            <w:vAlign w:val="center"/>
          </w:tcPr>
          <w:p>
            <w:pPr>
              <w:spacing w:after="60" w:before="60"/>
              <w:jc w:val="center"/>
            </w:pPr>
            <w:r>
              <w:rPr>
                <w:rFonts w:ascii="Times New Roman" w:cs="Times New Roman" w:eastAsia="Times New Roman" w:hAnsi="Times New Roman"/>
                <w:b/>
                <w:bCs/>
                <w:sz w:val="24"/>
                <w:szCs w:val="24"/>
              </w:rPr>
              <w:t xml:space="preserve">S.No.</w:t>
            </w:r>
          </w:p>
        </w:tc>
        <w:tc>
          <w:tcPr>
            <w:tcW w:type="dxa" w:w="5460"/>
            <w:shd w:fill="D9D9D9" w:val="clear"/>
            <w:vAlign w:val="center"/>
          </w:tcPr>
          <w:p>
            <w:pPr>
              <w:spacing w:after="60" w:before="60"/>
              <w:jc w:val="left"/>
            </w:pPr>
            <w:r>
              <w:rPr>
                <w:rFonts w:ascii="Times New Roman" w:cs="Times New Roman" w:eastAsia="Times New Roman" w:hAnsi="Times New Roman"/>
                <w:b/>
                <w:bCs/>
                <w:sz w:val="24"/>
                <w:szCs w:val="24"/>
              </w:rPr>
              <w:t xml:space="preserve">Title</w:t>
            </w:r>
          </w:p>
        </w:tc>
        <w:tc>
          <w:tcPr>
            <w:tcW w:type="dxa" w:w="1500"/>
            <w:shd w:fill="D9D9D9" w:val="clear"/>
            <w:vAlign w:val="center"/>
          </w:tcPr>
          <w:p>
            <w:pPr>
              <w:spacing w:after="60" w:before="60"/>
              <w:jc w:val="center"/>
            </w:pPr>
            <w:r>
              <w:rPr>
                <w:rFonts w:ascii="Times New Roman" w:cs="Times New Roman" w:eastAsia="Times New Roman" w:hAnsi="Times New Roman"/>
                <w:b/>
                <w:bCs/>
                <w:sz w:val="24"/>
                <w:szCs w:val="24"/>
              </w:rPr>
              <w:t xml:space="preserve">Page No.</w:t>
            </w:r>
          </w:p>
        </w:tc>
        <w:tc>
          <w:tcPr>
            <w:tcW w:type="dxa" w:w="1500"/>
            <w:shd w:fill="D9D9D9" w:val="clear"/>
            <w:vAlign w:val="center"/>
          </w:tcPr>
          <w:p>
            <w:pPr>
              <w:spacing w:after="60" w:before="60"/>
              <w:jc w:val="center"/>
            </w:pPr>
            <w:r>
              <w:rPr>
                <w:rFonts w:ascii="Times New Roman" w:cs="Times New Roman" w:eastAsia="Times New Roman" w:hAnsi="Times New Roman"/>
                <w:b/>
                <w:bCs/>
                <w:sz w:val="24"/>
                <w:szCs w:val="24"/>
              </w:rPr>
              <w:t xml:space="preserve">Signature</w:t>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1</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Certificate</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2</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Index</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3</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Simulation 1: ARBITRATION Proceeding</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4</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Simulation 2: CONCILIATION Proceeding</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5</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Simulation 3: MEDIATION Proceeding</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6</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Simulation 4: NEGOTIATION Proceeding</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7</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Simulation 5: LOK ADALAT Proceeding</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8</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Observation 1: Lok Adalat</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9</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Observation 2: Family Court</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r>
        <w:tc>
          <w:tcPr>
            <w:tcW w:type="dxa" w:w="900"/>
            <w:vAlign w:val="center"/>
          </w:tcPr>
          <w:p>
            <w:pPr>
              <w:spacing w:after="60" w:before="60"/>
              <w:jc w:val="center"/>
            </w:pPr>
            <w:r>
              <w:rPr>
                <w:rFonts w:ascii="Times New Roman" w:cs="Times New Roman" w:eastAsia="Times New Roman" w:hAnsi="Times New Roman"/>
                <w:b w:val="false"/>
                <w:bCs w:val="false"/>
                <w:sz w:val="24"/>
                <w:szCs w:val="24"/>
              </w:rPr>
              <w:t xml:space="preserve">10</w:t>
            </w:r>
          </w:p>
        </w:tc>
        <w:tc>
          <w:tcPr>
            <w:tcW w:type="dxa" w:w="5460"/>
            <w:vAlign w:val="center"/>
          </w:tcPr>
          <w:p>
            <w:pPr>
              <w:spacing w:after="60" w:before="60"/>
              <w:jc w:val="left"/>
            </w:pPr>
            <w:r>
              <w:rPr>
                <w:rFonts w:ascii="Times New Roman" w:cs="Times New Roman" w:eastAsia="Times New Roman" w:hAnsi="Times New Roman"/>
                <w:b w:val="false"/>
                <w:bCs w:val="false"/>
                <w:sz w:val="24"/>
                <w:szCs w:val="24"/>
              </w:rPr>
              <w:t xml:space="preserve">Observation 3: Labour Tribunal</w:t>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c>
          <w:tcPr>
            <w:tcW w:type="dxa" w:w="150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PART I: SIMULATION PROCEEDINGS</w:t>
      </w:r>
    </w:p>
    <w:p>
      <w:pPr>
        <w:spacing w:after="120" w:before="0" w:line="360"/>
        <w:jc w:val="center"/>
      </w:pPr>
      <w:r>
        <w:rPr>
          <w:rFonts w:ascii="Times New Roman" w:cs="Times New Roman" w:eastAsia="Times New Roman" w:hAnsi="Times New Roman"/>
          <w:b w:val="false"/>
          <w:bCs w:val="false"/>
          <w:i/>
          <w:iCs/>
          <w:color w:val="000000"/>
          <w:sz w:val="24"/>
          <w:szCs w:val="24"/>
        </w:rPr>
        <w:t xml:space="preserve">(Total: 5 Simulations × 4 Marks = 20 Marks)</w:t>
      </w:r>
    </w:p>
    <w:p>
      <w:r>
        <w:br w:type="page"/>
      </w:r>
    </w:p>
    <w:p>
      <w:pPr>
        <w:spacing w:after="160" w:before="200" w:line="360"/>
        <w:jc w:val="center"/>
      </w:pPr>
      <w:r>
        <w:rPr>
          <w:rFonts w:ascii="Times New Roman" w:cs="Times New Roman" w:eastAsia="Times New Roman" w:hAnsi="Times New Roman"/>
          <w:b/>
          <w:bCs/>
          <w:sz w:val="36"/>
          <w:szCs w:val="36"/>
          <w:u w:val="single"/>
        </w:rPr>
        <w:t xml:space="preserve">Simulation I — Arbitration Proceeding</w:t>
      </w:r>
    </w:p>
    <w:p>
      <w:pPr>
        <w:spacing w:after="160" w:before="200" w:line="360"/>
        <w:jc w:val="center"/>
      </w:pPr>
      <w:r>
        <w:rPr>
          <w:rFonts w:ascii="Times New Roman" w:cs="Times New Roman" w:eastAsia="Times New Roman" w:hAnsi="Times New Roman"/>
          <w:b/>
          <w:bCs/>
          <w:sz w:val="32"/>
          <w:szCs w:val="32"/>
          <w:u w:val="single"/>
        </w:rPr>
        <w:t xml:space="preserve">(ARBITRATION)</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A. FACTS OF THE DISPUTE</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Mr. Ravi Kumar (Claimant) entered into a construction contract with M/s Buildtech Pvt. Ltd. (Respondent) dated 15th March 2024 for construction of a commercial complex at Secunderabad for a total consideration of ₹1,20,00,000/-. The Respondent failed to complete the construction within the stipulated period of 18 months and also used sub-standard materials causing structural defects. The contract contained an arbitration clause under Clause 22 providing for resolution of disputes by a sole arbitrator to be appointed by mutual consent.</w:t>
      </w:r>
    </w:p>
    <w:p>
      <w:pPr>
        <w:spacing w:after="120" w:before="200" w:line="360"/>
        <w:jc w:val="left"/>
      </w:pPr>
      <w:r>
        <w:rPr>
          <w:rFonts w:ascii="Times New Roman" w:cs="Times New Roman" w:eastAsia="Times New Roman" w:hAnsi="Times New Roman"/>
          <w:b/>
          <w:bCs/>
          <w:sz w:val="28"/>
          <w:szCs w:val="28"/>
          <w:u w:val="single"/>
        </w:rPr>
        <w:t xml:space="preserve">B. ISSUES FOR DETERMINATION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Whether the Respondent is liable for breach of contract due to delay in completion?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Whether the Claimant is entitled to damages for defective workmanship?</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What is the quantum of compensation payable to the Claimant?</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C. PROCEDURE FOLLOWED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The Claimant sent a Notice of Arbitration to the Respondent on 10th January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Both parties mutually agreed to appoint Shri Justice (Retd.) K. Ramaiah as the Sole Arbitrator.</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The Arbitral Tribunal was constituted on 1st February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The Claimant filed his Statement of Claim on 15th February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The Respondent filed his Statement of Defence on 5th March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The Arbitral Tribunal held its first hearing on 20th March 2025 at Hyderabad (Seat of Arbitration).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Documentary evidence was tendered by both parties.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Oral arguments were heard on 15th April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9. The Arbitral Award was passed on 1st May 2025 within 12 months as required by Section 29A of the A&amp;C Act, 1996.</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D. AWARD / SETTLEMENT</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The Sole Arbitrator held that the Respondent was in breach of contract. The Claimant was awarded:
(a) ₹15,00,000/- as compensation for delay (₹50,000/- per month for 30 months).
(b) ₹8,00,000/- as cost of rectification of defective work.
(c) ₹1,50,000/- as arbitration costs.
Total Award: ₹24,50,000/- with interest @ 12% per annum from the date of award till realisation.</w:t>
      </w:r>
    </w:p>
    <w:p>
      <w:pPr>
        <w:spacing w:after="120" w:before="200" w:line="360"/>
        <w:jc w:val="left"/>
      </w:pPr>
      <w:r>
        <w:rPr>
          <w:rFonts w:ascii="Times New Roman" w:cs="Times New Roman" w:eastAsia="Times New Roman" w:hAnsi="Times New Roman"/>
          <w:b/>
          <w:bCs/>
          <w:sz w:val="28"/>
          <w:szCs w:val="28"/>
          <w:u w:val="single"/>
        </w:rPr>
        <w:t xml:space="preserve">E. APPLICABLE LAW AND CASES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1. Arbitration and Conciliation Act, 1996 — Sections 7, 11, 18, 19, 29A, 31</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2. Section 7: Arbitration Agreement must be in writing</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3. Section 11: Appointment of Arbitrator — mutual consent or court appointment</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4. Section 18: Equal treatment of parties is mandatory</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5. Section 29A: Award must be made within 12 months (extended to 18 with consent)</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6. Section 31: Award must be in writing, signed, with reasons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7. ONGC v. Saw Pipes Ltd. (2003) — Public policy and patent illegality</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F. MY ROLE IN THE SIMULATION</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I participated as the Counsel for the Claimant (Mr. Ravi Kumar).
I prepared the Statement of Claim, tendered documentary evidence, and presented oral arguments on behalf of the Claimant.</w:t>
      </w:r>
    </w:p>
    <w:p>
      <w:pPr>
        <w:spacing w:after="120" w:before="200" w:line="360"/>
        <w:jc w:val="left"/>
      </w:pPr>
      <w:r>
        <w:rPr>
          <w:rFonts w:ascii="Times New Roman" w:cs="Times New Roman" w:eastAsia="Times New Roman" w:hAnsi="Times New Roman"/>
          <w:b/>
          <w:bCs/>
          <w:sz w:val="28"/>
          <w:szCs w:val="28"/>
          <w:u w:val="single"/>
        </w:rPr>
        <w:t xml:space="preserve">G. OBSERVATIONS AND LEARNING</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The simulation provided practical insight into the conduct of arbitral proceedings. Key learning: (1) Arbitration proceedings are less formal than court proceedings but follow principles of natural justice. (2) The Arbitral Tribunal has wide powers to determine its own procedure under Section 19. (3) The Award must be self-sufficient and state clear reasons. (4) Party autonomy is central to arbitration — parties can agree on virtually all procedural aspects.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4</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Simulation II — Conciliation Proceeding</w:t>
      </w:r>
    </w:p>
    <w:p>
      <w:pPr>
        <w:spacing w:after="160" w:before="200" w:line="360"/>
        <w:jc w:val="center"/>
      </w:pPr>
      <w:r>
        <w:rPr>
          <w:rFonts w:ascii="Times New Roman" w:cs="Times New Roman" w:eastAsia="Times New Roman" w:hAnsi="Times New Roman"/>
          <w:b/>
          <w:bCs/>
          <w:sz w:val="32"/>
          <w:szCs w:val="32"/>
          <w:u w:val="single"/>
        </w:rPr>
        <w:t xml:space="preserve">(CONCILIATION)</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A. FACTS OF THE DISPUTE</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M/s Sunrise Exports (Party I) and M/s Global Imports Pvt. Ltd. (Party II) were parties to a long-standing commercial relationship for supply of textile goods. A dispute arose regarding alleged short-delivery and quality deficiency in a consignment worth ₹35,00,000/- supplied in November 2024. Party I claimed full payment while Party II alleged 30% of goods were defective and demanded replacement or refund. Both parties agreed to resolve the dispute through conciliation under Part III of the Arbitration and Conciliation Act, 1996.</w:t>
      </w:r>
    </w:p>
    <w:p>
      <w:pPr>
        <w:spacing w:after="120" w:before="200" w:line="360"/>
        <w:jc w:val="left"/>
      </w:pPr>
      <w:r>
        <w:rPr>
          <w:rFonts w:ascii="Times New Roman" w:cs="Times New Roman" w:eastAsia="Times New Roman" w:hAnsi="Times New Roman"/>
          <w:b/>
          <w:bCs/>
          <w:sz w:val="28"/>
          <w:szCs w:val="28"/>
          <w:u w:val="single"/>
        </w:rPr>
        <w:t xml:space="preserve">B. ISSUES FOR DETERMINATION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Whether Party II had validly rejected the consignment for quality deficiency?</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Whether Party I was entitled to full payment despite the dispute?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What was the fair settlement amount acceptable to both parties?</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C. PROCEDURE FOLLOWED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Party I sent a written invitation for conciliation to Party II under Section 61 of the A&amp;C Act, 1996.</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Party II accepted the invitation within 30 days as required.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By mutual agreement, Dr. Meena Sharma (retired IAS officer) was appointed as Sole Conciliator.</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Both parties submitted written statements of their respective positions to the Conciliator.</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The Conciliator held separate meetings (caucuses) with each party under Section 67 of the Act.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The Conciliator made proposals for settlement to both parties.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After three rounds of meetings, a mutually agreeable settlement was reached.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The Settlement Agreement was drawn up, signed by both parties and authenticated by the Conciliator under Section 73.</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D. AWARD / SETTLEMENT</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Settlement Agreement under Section 73:
(a) Party II agreed to pay ₹28,00,000/- (80% of claim) within 30 days.
(b) Party I agreed to replace the disputed 30% goods within 45 days.
(c) Both parties agreed to continue their business relationship.
(d) No party to bear the other's costs — each bears own costs.
The Settlement Agreement has the same effect as an Arbitral Award (Section 74) and is enforceable as a decree of civil court.</w:t>
      </w:r>
    </w:p>
    <w:p>
      <w:pPr>
        <w:spacing w:after="120" w:before="200" w:line="360"/>
        <w:jc w:val="left"/>
      </w:pPr>
      <w:r>
        <w:rPr>
          <w:rFonts w:ascii="Times New Roman" w:cs="Times New Roman" w:eastAsia="Times New Roman" w:hAnsi="Times New Roman"/>
          <w:b/>
          <w:bCs/>
          <w:sz w:val="28"/>
          <w:szCs w:val="28"/>
          <w:u w:val="single"/>
        </w:rPr>
        <w:t xml:space="preserve">E. APPLICABLE LAW AND CASES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1. Arbitration and Conciliation Act, 1996 — Sections 61 to 81 (Part III)</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2. Section 61: Commencement — written invitation, 30-day acceptance</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3. Section 64: Appointment of Conciliators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4. Section 67: Role of Conciliator — assists impartially, may meet separately</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5. Section 69: Communication — Conciliator communicates between parties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6. Section 73: Settlement Agreement — authenticated by Conciliator</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7. Section 74: Effect — same as Arbitral Award on agreed terms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8. Section 80: Conciliator cannot become Arbitrator in same dispute</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9. Mysore Cements v. Svedala Barmac Ltd. (2003 SC)</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F. MY ROLE IN THE SIMULATION</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I participated as the Conciliator in this simulation.
I conducted separate caucuses with each party, made settlement proposals, and assisted both parties in reaching a mutually satisfactory settlement under Section 67 of the Act.</w:t>
      </w:r>
    </w:p>
    <w:p>
      <w:pPr>
        <w:spacing w:after="120" w:before="200" w:line="360"/>
        <w:jc w:val="left"/>
      </w:pPr>
      <w:r>
        <w:rPr>
          <w:rFonts w:ascii="Times New Roman" w:cs="Times New Roman" w:eastAsia="Times New Roman" w:hAnsi="Times New Roman"/>
          <w:b/>
          <w:bCs/>
          <w:sz w:val="28"/>
          <w:szCs w:val="28"/>
          <w:u w:val="single"/>
        </w:rPr>
        <w:t xml:space="preserve">G. OBSERVATIONS AND LEARNING</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Key observations from this conciliation simulation: (1) Conciliator plays a more active role than a mediator — can make recommendations and proposals. (2) Caucus (separate meeting) is a powerful tool to understand each party's real interests and bottom line. (3) Unlike arbitration, conciliator cannot impose a decision — settlement must be consensual. (4) Confidentiality is paramount — Conciliator cannot disclose one party's information to other without consent. (5) Section 80 prohibition is critical — Conciliator must remain neutral throughout.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4</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Simulation III — Mediation Proceeding</w:t>
      </w:r>
    </w:p>
    <w:p>
      <w:pPr>
        <w:spacing w:after="160" w:before="200" w:line="360"/>
        <w:jc w:val="center"/>
      </w:pPr>
      <w:r>
        <w:rPr>
          <w:rFonts w:ascii="Times New Roman" w:cs="Times New Roman" w:eastAsia="Times New Roman" w:hAnsi="Times New Roman"/>
          <w:b/>
          <w:bCs/>
          <w:sz w:val="32"/>
          <w:szCs w:val="32"/>
          <w:u w:val="single"/>
        </w:rPr>
        <w:t xml:space="preserve">(MEDIATION)</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A. FACTS OF THE DISPUTE</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Smt. Padmavathi (Petitioner) and Sri Venkatesh (Respondent) are a married couple with two children aged 8 and 5. They filed for divorce and had a dispute regarding custody of children, maintenance, and division of jointly acquired property worth approximately ₹60,00,000/-. The Family Court, Hyderabad, referred the matter to mediation under Section 89 CPC read with Order X Rule 1A, in accordance with the Mediation Act, 2023.</w:t>
      </w:r>
    </w:p>
    <w:p>
      <w:pPr>
        <w:spacing w:after="120" w:before="200" w:line="360"/>
        <w:jc w:val="left"/>
      </w:pPr>
      <w:r>
        <w:rPr>
          <w:rFonts w:ascii="Times New Roman" w:cs="Times New Roman" w:eastAsia="Times New Roman" w:hAnsi="Times New Roman"/>
          <w:b/>
          <w:bCs/>
          <w:sz w:val="28"/>
          <w:szCs w:val="28"/>
          <w:u w:val="single"/>
        </w:rPr>
        <w:t xml:space="preserve">B. ISSUES FOR DETERMINATION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Whether a mutually agreeable arrangement for custody of minor children could be reached?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What would be a fair quantum of maintenance for the wife and children?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How should the jointly acquired property be equitably divided?</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C. PROCEDURE FOLLOWED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The Family Court referred the matter to the Mediation Centre, Hyderabad, under Section 89 CPC.</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Sri R.K. Prasad, trained mediator, was assigned to the case.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First joint session was held on 10th February 2025 — mediator explained the process and ground rules.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Individual (private) sessions were held with each party to understand their underlying interests.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Joint sessions were conducted on 15th, 22nd February and 1st March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Mediator facilitated dialogue without imposing any solution.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Both parties reached a settlement on all three issues.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Settlement Agreement was reduced to writing and submitted to the Family Court.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9. Family Court passed a decree in terms of the Settlement Agreement.</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D. AWARD / SETTLEMENT</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Settlement Agreement:
(a) CUSTODY: Joint legal custody. Physical custody with mother. Father to have visitation every alternate weekend and during school holidays.
(b) MAINTENANCE: ₹25,000/- per month (₹15,000/- for wife + ₹5,000/- each for children) till children turn 18.
(c) PROPERTY: House property to vest in mother for children's benefit. Husband to receive ₹20,00,000/- as his share. Joint bank accounts to be split equally.</w:t>
      </w:r>
    </w:p>
    <w:p>
      <w:pPr>
        <w:spacing w:after="120" w:before="200" w:line="360"/>
        <w:jc w:val="left"/>
      </w:pPr>
      <w:r>
        <w:rPr>
          <w:rFonts w:ascii="Times New Roman" w:cs="Times New Roman" w:eastAsia="Times New Roman" w:hAnsi="Times New Roman"/>
          <w:b/>
          <w:bCs/>
          <w:sz w:val="28"/>
          <w:szCs w:val="28"/>
          <w:u w:val="single"/>
        </w:rPr>
        <w:t xml:space="preserve">E. APPLICABLE LAW AND CASES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1. Mediation Act, 2023 — Sections 4, 6, 14, 22, 26</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2. Section 89 CPC — Court reference to ADR</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3. Order X Rules 1A, 1B, 1C CPC — Procedure for reference</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4. Family Courts Act, 1984</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5. Afcons Infrastructure v. Cherian Varkey (2010 SC) — Section 89 guidelines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6. Hindu Marriage Act, 1955 — Sections 13, 25, 26</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7. Hindu Minority and Guardianship Act, 1956</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8. Singapore Convention on Mediation, 2019 (for international context)</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F. MY ROLE IN THE SIMULATION</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I participated as Counsel for the Petitioner (Smt. Padmavathi).
I advised my client on her legal rights, helped her articulate her underlying interests to the mediator, and assisted in drafting the Settlement Agreement terms.</w:t>
      </w:r>
    </w:p>
    <w:p>
      <w:pPr>
        <w:spacing w:after="120" w:before="200" w:line="360"/>
        <w:jc w:val="left"/>
      </w:pPr>
      <w:r>
        <w:rPr>
          <w:rFonts w:ascii="Times New Roman" w:cs="Times New Roman" w:eastAsia="Times New Roman" w:hAnsi="Times New Roman"/>
          <w:b/>
          <w:bCs/>
          <w:sz w:val="28"/>
          <w:szCs w:val="28"/>
          <w:u w:val="single"/>
        </w:rPr>
        <w:t xml:space="preserve">G. OBSERVATIONS AND LEARNING</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Mediation is uniquely suited for family disputes because: (1) Unlike litigation, mediation focuses on parties' interests, not just legal rights. (2) A mediated settlement is more durable because parties own the decision. (3) The mediator must never impose a solution — facilitates, not decides. (4) Confidentiality under the Mediation Act 2023 ensures parties can speak freely. (5) Children's best interest must be paramount in custody disputes.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4</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Simulation IV — Negotiation</w:t>
      </w:r>
    </w:p>
    <w:p>
      <w:pPr>
        <w:spacing w:after="160" w:before="200" w:line="360"/>
        <w:jc w:val="center"/>
      </w:pPr>
      <w:r>
        <w:rPr>
          <w:rFonts w:ascii="Times New Roman" w:cs="Times New Roman" w:eastAsia="Times New Roman" w:hAnsi="Times New Roman"/>
          <w:b/>
          <w:bCs/>
          <w:sz w:val="32"/>
          <w:szCs w:val="32"/>
          <w:u w:val="single"/>
        </w:rPr>
        <w:t xml:space="preserve">(NEGOTIATION)</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A. FACTS OF THE DISPUTE</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Sri Anil Reddy (Employee) worked as Senior Manager in M/s Tech Solutions Pvt. Ltd. for 8 years. He was terminated from service without following proper procedure under the Industrial Disputes Act, 1947 and without payment of full and final settlement including gratuity of ₹3,60,000/-, earned leave encashment of ₹80,000/-, and 3 months' notice pay of ₹2,40,000/-. Sri Anil Reddy engaged a lawyer to negotiate directly with the Management (represented by their HR Head and Company Lawyer) before approaching Labour Court.</w:t>
      </w:r>
    </w:p>
    <w:p>
      <w:pPr>
        <w:spacing w:after="120" w:before="200" w:line="360"/>
        <w:jc w:val="left"/>
      </w:pPr>
      <w:r>
        <w:rPr>
          <w:rFonts w:ascii="Times New Roman" w:cs="Times New Roman" w:eastAsia="Times New Roman" w:hAnsi="Times New Roman"/>
          <w:b/>
          <w:bCs/>
          <w:sz w:val="28"/>
          <w:szCs w:val="28"/>
          <w:u w:val="single"/>
        </w:rPr>
        <w:t xml:space="preserve">B. ISSUES FOR DETERMINATION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Whether the termination was valid without following prescribed procedure?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What is the total legitimate claim of the employee?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Whether an out-of-court settlement could be reached satisfactorily?</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C. PROCEDURE FOLLOWED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Employee's lawyer sent a legal notice to the Company on 5th January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Company responded acknowledging the notice but disputing the claims on 20th January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First negotiation meeting held on 1st February 2025 at Company premises.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Both sides presented their positions — Employee claimed ₹8,00,000/- total; Company offered ₹4,50,000/-.</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Second negotiation meeting on 15th February 2025 — positions moved closer.</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Third and final negotiation meeting on 1st March 2025.</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Settlement reached at ₹6,80,000/- total, inclusive of all dues.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Full and Final Settlement Agreement signed and payment made by NEFT on 10th March 2025.</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D. AWARD / SETTLEMENT</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Negotiated Settlement:
(a) Gratuity: ₹3,60,000/- (as per Payment of Gratuity Act calculation)
(b) Earned Leave Encashment: ₹80,000/-
(c) Notice Pay (3 months): ₹2,40,000/-
(d) Ex-gratia (additional, negotiated): ₹1,00,000/-
Total: ₹6,80,000/- paid by NEFT.
Employee signed No-Dues Certificate and agreed not to approach Labour Court.</w:t>
      </w:r>
    </w:p>
    <w:p>
      <w:pPr>
        <w:spacing w:after="120" w:before="200" w:line="360"/>
        <w:jc w:val="left"/>
      </w:pPr>
      <w:r>
        <w:rPr>
          <w:rFonts w:ascii="Times New Roman" w:cs="Times New Roman" w:eastAsia="Times New Roman" w:hAnsi="Times New Roman"/>
          <w:b/>
          <w:bCs/>
          <w:sz w:val="28"/>
          <w:szCs w:val="28"/>
          <w:u w:val="single"/>
        </w:rPr>
        <w:t xml:space="preserve">E. APPLICABLE LAW AND CASES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1. Industrial Disputes Act, 1947 — Section 25F (Retrenchment procedure)</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2. Payment of Gratuity Act, 1972 — Section 4 (Eligibility), Section 7 (Payment)</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3. Payment of Wages Act, 1936 — Section 5 (Time of payment)</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4. Contract Act, 1872 — Section 73 (Damages for breach)</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5. Section 18 Industrial Disputes Act — Settlement binding on parties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6. No specific statute governs negotiation — it is entirely party-driven</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F. MY ROLE IN THE SIMULATION</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I participated as the Counsel for Sri Anil Reddy (Employee).
I prepared the negotiation strategy, calculated the legitimate entitlements, presented legal arguments supporting each claim, and successfully negotiated a settlement above the initial offer.</w:t>
      </w:r>
    </w:p>
    <w:p>
      <w:pPr>
        <w:spacing w:after="120" w:before="200" w:line="360"/>
        <w:jc w:val="left"/>
      </w:pPr>
      <w:r>
        <w:rPr>
          <w:rFonts w:ascii="Times New Roman" w:cs="Times New Roman" w:eastAsia="Times New Roman" w:hAnsi="Times New Roman"/>
          <w:b/>
          <w:bCs/>
          <w:sz w:val="28"/>
          <w:szCs w:val="28"/>
          <w:u w:val="single"/>
        </w:rPr>
        <w:t xml:space="preserve">G. OBSERVATIONS AND LEARNING</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Negotiation is the most informal ADR mechanism. Key learning: (1) Preparation is everything — know your BATNA (Best Alternative to Negotiated Agreement) before entering negotiation. (2) Understand the other party's interests, not just their positions. (3) Objective criteria (statute, precedent) strengthen negotiation leverage. (4) Time pressure works for and against both sides — know when to use it. (5) Never negotiate without full knowledge of the law — this simulation showed how Payment of Gratuity Act formula, once cited, shifted the Company's position significantly.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4</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Simulation V — Lok Adalat Proceeding</w:t>
      </w:r>
    </w:p>
    <w:p>
      <w:pPr>
        <w:spacing w:after="160" w:before="200" w:line="360"/>
        <w:jc w:val="center"/>
      </w:pPr>
      <w:r>
        <w:rPr>
          <w:rFonts w:ascii="Times New Roman" w:cs="Times New Roman" w:eastAsia="Times New Roman" w:hAnsi="Times New Roman"/>
          <w:b/>
          <w:bCs/>
          <w:sz w:val="32"/>
          <w:szCs w:val="32"/>
          <w:u w:val="single"/>
        </w:rPr>
        <w:t xml:space="preserve">(LOK ADALAT)</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A. FACTS OF THE DISPUTE</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Sri Mahesh Kumar's vehicle (Car No. TS-09-EF-4521) was involved in a motor accident on 15th August 2024 on the Hyderabad-Warangal National Highway. The accident was caused by the rash and negligent driving of the driver of a goods vehicle. Sri Mahesh Kumar suffered grievous injuries and was hospitalised for 45 days. He filed a Motor Accident Claim Petition before the Motor Accidents Claims Tribunal (MACT), Hyderabad, claiming ₹25,00,000/- as compensation. The matter was referred to Lok Adalat under the Legal Services Authorities Act, 1987.</w:t>
      </w:r>
    </w:p>
    <w:p>
      <w:pPr>
        <w:spacing w:after="120" w:before="200" w:line="360"/>
        <w:jc w:val="left"/>
      </w:pPr>
      <w:r>
        <w:rPr>
          <w:rFonts w:ascii="Times New Roman" w:cs="Times New Roman" w:eastAsia="Times New Roman" w:hAnsi="Times New Roman"/>
          <w:b/>
          <w:bCs/>
          <w:sz w:val="28"/>
          <w:szCs w:val="28"/>
          <w:u w:val="single"/>
        </w:rPr>
        <w:t xml:space="preserve">B. ISSUES FOR DETERMINATION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Whether the accident was caused by negligent driving of the goods vehicle?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What is the fair and just compensation payable to the petitioner?</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Whether an agreed settlement could avoid prolonged MACT litigation?</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C. PROCEDURE FOLLOWED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MACT referred the matter to the Lok Adalat constituted by District Legal Services Authority (DLSA), Hyderabad.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Lok Adalat bench constituted: Sitting Judicial Officer (Presiding Member) + one advocate member + one social worker.</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Petitioner and Respondent Insurance Company appeared before the Lok Adalat.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Conciliation was attempted by the Lok Adalat bench.</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Medical records, disability certificate, income proof and accident report were examined.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The bench suggested a settlement amount based on the structured formula under Motor Vehicles Act.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After deliberation, both parties agreed to the settlement figure.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Award was passed by the Lok Adalat.</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D. AWARD / SETTLEMENT</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Lok Adalat Award:
Total Compensation: ₹14,50,000/- payable by the Insurance Company.
Breakup: Medical expenses (₹3,80,000) + Loss of income during hospitalisation (₹2,40,000) + Permanent disability compensation (₹6,00,000) + Pain and suffering (₹1,50,000) + Future treatment (₹80,000).
Award is FINAL and BINDING. No appeal lies. Court fees paid by petitioner are REFUNDED.</w:t>
      </w:r>
    </w:p>
    <w:p>
      <w:pPr>
        <w:spacing w:after="120" w:before="200" w:line="360"/>
        <w:jc w:val="left"/>
      </w:pPr>
      <w:r>
        <w:rPr>
          <w:rFonts w:ascii="Times New Roman" w:cs="Times New Roman" w:eastAsia="Times New Roman" w:hAnsi="Times New Roman"/>
          <w:b/>
          <w:bCs/>
          <w:sz w:val="28"/>
          <w:szCs w:val="28"/>
          <w:u w:val="single"/>
        </w:rPr>
        <w:t xml:space="preserve">E. APPLICABLE LAW AND CASES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1. Legal Services Authorities Act, 1987 — Sections 19, 20, 21, 22</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2. Section 19: Constitution of Lok Adalat</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3. Section 20: Cognizance of cases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4. Section 21: Award of Lok Adalat — final and binding, no appeal</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5. Section 22B: Permanent Lok Adalat for public utility services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6. Motor Vehicles Act, 1988 — Section 166 (MACT claims)</w:t>
      </w:r>
    </w:p>
    <w:p>
      <w:pPr>
        <w:spacing w:after="60" w:before="0" w:line="480"/>
        <w:jc w:val="left"/>
      </w:pPr>
      <w:r>
        <w:rPr>
          <w:rFonts w:ascii="Times New Roman" w:cs="Times New Roman" w:eastAsia="Times New Roman" w:hAnsi="Times New Roman"/>
          <w:b w:val="false"/>
          <w:bCs w:val="false"/>
          <w:i w:val="false"/>
          <w:iCs w:val="false"/>
          <w:color w:val="000000"/>
          <w:sz w:val="24"/>
          <w:szCs w:val="24"/>
        </w:rPr>
        <w:t xml:space="preserve">7. State of Punjab v. Jalour Singh (2008 SC) — Finality of Lok Adalat award</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F. MY ROLE IN THE SIMULATION</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I participated as the Counsel for the Petitioner (Sri Mahesh Kumar).
I presented medical evidence, calculated compensation using structured formula, argued for a fair settlement and ultimately advised the client to accept the Lok Adalat award.</w:t>
      </w:r>
    </w:p>
    <w:p>
      <w:pPr>
        <w:spacing w:after="120" w:before="200" w:line="360"/>
        <w:jc w:val="left"/>
      </w:pPr>
      <w:r>
        <w:rPr>
          <w:rFonts w:ascii="Times New Roman" w:cs="Times New Roman" w:eastAsia="Times New Roman" w:hAnsi="Times New Roman"/>
          <w:b/>
          <w:bCs/>
          <w:sz w:val="28"/>
          <w:szCs w:val="28"/>
          <w:u w:val="single"/>
        </w:rPr>
        <w:t xml:space="preserve">G. OBSERVATIONS AND LEARNING</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(1) Lok Adalat is particularly effective for motor accident cases — quick, final, no appeal. (2) The Lok Adalat cannot impose a settlement — both parties must agree (unlike Permanent Lok Adalat). (3) Court fee refund is a major incentive for settlement through Lok Adalat. (4) The award has the same force as a decree of civil court — executable immediately. (5) Lok Adalat reduces burden on courts while delivering justice to the common man at zero cost.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4</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PART II: OBSERVATION DIARY</w:t>
      </w:r>
    </w:p>
    <w:p>
      <w:pPr>
        <w:spacing w:after="120" w:before="0" w:line="360"/>
        <w:jc w:val="center"/>
      </w:pPr>
      <w:r>
        <w:rPr>
          <w:rFonts w:ascii="Times New Roman" w:cs="Times New Roman" w:eastAsia="Times New Roman" w:hAnsi="Times New Roman"/>
          <w:b w:val="false"/>
          <w:bCs w:val="false"/>
          <w:i/>
          <w:iCs/>
          <w:color w:val="000000"/>
          <w:sz w:val="24"/>
          <w:szCs w:val="24"/>
        </w:rPr>
        <w:t xml:space="preserve">(ADR Forums Observed: Lok Adalat, Family Court, Labour Tribunal)</w:t>
      </w:r>
    </w:p>
    <w:p>
      <w:pPr>
        <w:spacing w:after="120" w:before="0" w:line="360"/>
        <w:jc w:val="center"/>
      </w:pPr>
      <w:r>
        <w:rPr>
          <w:rFonts w:ascii="Times New Roman" w:cs="Times New Roman" w:eastAsia="Times New Roman" w:hAnsi="Times New Roman"/>
          <w:b w:val="false"/>
          <w:bCs w:val="false"/>
          <w:i/>
          <w:iCs/>
          <w:color w:val="000000"/>
          <w:sz w:val="24"/>
          <w:szCs w:val="24"/>
        </w:rPr>
        <w:t xml:space="preserve">(Total: 10 Marks)</w:t>
      </w:r>
    </w:p>
    <w:p>
      <w:r>
        <w:br w:type="page"/>
      </w:r>
    </w:p>
    <w:p>
      <w:pPr>
        <w:spacing w:after="160" w:before="200" w:line="360"/>
        <w:jc w:val="center"/>
      </w:pPr>
      <w:r>
        <w:rPr>
          <w:rFonts w:ascii="Times New Roman" w:cs="Times New Roman" w:eastAsia="Times New Roman" w:hAnsi="Times New Roman"/>
          <w:b/>
          <w:bCs/>
          <w:sz w:val="36"/>
          <w:szCs w:val="36"/>
          <w:u w:val="single"/>
        </w:rPr>
        <w:t xml:space="preserve">Observation Entry 1: Lok Adalat</w:t>
      </w:r>
    </w:p>
    <w:p>
      <w:pPr>
        <w:spacing w:after="0" w:before="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702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Forum</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Lok Adalat</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Venue</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District Legal Services Authority (DLSA), Hyderabad</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Date of Visit</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_____ / _____ / 2025</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Nature of Cases</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Motor Accident Compensation Cases</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Bench Constitution</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Presiding Judicial Officer + Two Members (Advocate and Social Worker)</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Cases Observed</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12 cases settled in one session</w:t>
            </w:r>
          </w:p>
        </w:tc>
      </w:tr>
    </w:tbl>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PROCEDURE OBSERVED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Both parties appeared informally without strict procedural rules.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The Lok Adalat bench explained the benefits of settlement to parties.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Conciliation was attempted by the bench members in each case.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In motor accident cases, the Insurance Company representatives were present with authority to settle.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For cases involving cheque bounce (Sec 138 NI Act), compounding was facilitated.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Settlement amounts were discussed openly with parties' consent.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Awards were passed in cases where both parties agreed.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Awards were signed by the Presiding Officer and authenticated.</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KEY OBSERVATIONS AND ANALYSIS</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The Lok Adalat session was highly efficient — 12 cases were settled in approximately 3 hours. The informality of the proceedings encouraged frank discussion between parties. The Presiding Officer played an active role in suggesting reasonable settlement amounts based on facts and law. Parties who settled received immediate relief without waiting for court orders. Court fees were ordered to be refunded in all settled cases. Three cases could not be settled — they were returned to the MACT for regular trial.</w:t>
      </w:r>
    </w:p>
    <w:p>
      <w:pPr>
        <w:spacing w:after="120" w:before="200" w:line="360"/>
        <w:jc w:val="left"/>
      </w:pPr>
      <w:r>
        <w:rPr>
          <w:rFonts w:ascii="Times New Roman" w:cs="Times New Roman" w:eastAsia="Times New Roman" w:hAnsi="Times New Roman"/>
          <w:b/>
          <w:bCs/>
          <w:sz w:val="28"/>
          <w:szCs w:val="28"/>
          <w:u w:val="single"/>
        </w:rPr>
        <w:t xml:space="preserve">APPLICABLE LAW</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Legal Services Authorities Act, 1987 — Sections 19-22. Settlement has the force of a decree of civil court.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3.33</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Observation Entry 2: Family Court</w:t>
      </w:r>
    </w:p>
    <w:p>
      <w:pPr>
        <w:spacing w:after="0" w:before="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702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Forum</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Family Court</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Venue</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Family Court, Hyderabad</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Date of Visit</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_____ / _____ / 2025</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Nature of Cases</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Matrimonial Disputes and Maintenance Cases</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Bench Constitution</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Principal Judge, Family Court</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Cases Observed</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Observed proceedings in 8 matters</w:t>
            </w:r>
          </w:p>
        </w:tc>
      </w:tr>
    </w:tbl>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PROCEDURE OBSERVED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Matters were called in order of cause list.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In each matrimonial matter, court first inquired if parties had attempted reconciliation.</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Court referred two matters to the Mediation Centre attached to the Family Court.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In a maintenance case, both parties' lawyers made submissions on income and expenditure.</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Judge inquired into husband's income from salary slips, IT returns and bank statements.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Wife's needs and children's education expenses were taken into account.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In a custody matter, the judge interacted directly with the children in chambers.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8. No public access to children's interaction (in-camera proceeding).</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9. Decree Nisi was passed in one divorce matter by mutual consent.</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KEY OBSERVATIONS AND ANALYSIS</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Family Courts function with a strong emphasis on reconciliation before adjudication. The atmosphere was less adversarial than regular civil courts. The Judge was patient and sensitive, particularly when children's interests were involved. The in-camera proceeding for children's interaction showed the court's commitment to protecting minor's dignity. The reference to mediation in two matters demonstrated the court's preference for amicable resolution. The maintenance calculation process was detailed — the Judge considered all financial aspects carefully.</w:t>
      </w:r>
    </w:p>
    <w:p>
      <w:pPr>
        <w:spacing w:after="120" w:before="200" w:line="360"/>
        <w:jc w:val="left"/>
      </w:pPr>
      <w:r>
        <w:rPr>
          <w:rFonts w:ascii="Times New Roman" w:cs="Times New Roman" w:eastAsia="Times New Roman" w:hAnsi="Times New Roman"/>
          <w:b/>
          <w:bCs/>
          <w:sz w:val="28"/>
          <w:szCs w:val="28"/>
          <w:u w:val="single"/>
        </w:rPr>
        <w:t xml:space="preserve">APPLICABLE LAW</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Family Courts Act, 1984. Hindu Marriage Act, 1955. Section 125 CrPC (maintenance). Guardian and Wards Act, 1890.</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3.33</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p>
      <w:r>
        <w:br w:type="page"/>
      </w:r>
    </w:p>
    <w:p>
      <w:pPr>
        <w:spacing w:after="160" w:before="200" w:line="360"/>
        <w:jc w:val="center"/>
      </w:pPr>
      <w:r>
        <w:rPr>
          <w:rFonts w:ascii="Times New Roman" w:cs="Times New Roman" w:eastAsia="Times New Roman" w:hAnsi="Times New Roman"/>
          <w:b/>
          <w:bCs/>
          <w:sz w:val="36"/>
          <w:szCs w:val="36"/>
          <w:u w:val="single"/>
        </w:rPr>
        <w:t xml:space="preserve">Observation Entry 3: Labour Tribunal</w:t>
      </w:r>
    </w:p>
    <w:p>
      <w:pPr>
        <w:spacing w:after="0" w:before="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702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Forum</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Labour Tribunal</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Venue</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Industrial Tribunal, Hyderabad</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Date of Visit</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_____ / _____ / 2025</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Nature of Cases</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Industrial Disputes — Retrenchment and Reinstatement</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Bench Constitution</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Presiding Officer, Industrial Tribunal</w:t>
            </w:r>
          </w:p>
        </w:tc>
      </w:tr>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Cases Observed</w:t>
            </w:r>
          </w:p>
        </w:tc>
        <w:tc>
          <w:tcPr>
            <w:tcW w:type="dxa" w:w="7020"/>
            <w:vAlign w:val="center"/>
          </w:tcPr>
          <w:p>
            <w:pPr>
              <w:spacing w:after="60" w:before="60"/>
              <w:jc w:val="left"/>
            </w:pPr>
            <w:r>
              <w:rPr>
                <w:rFonts w:ascii="Times New Roman" w:cs="Times New Roman" w:eastAsia="Times New Roman" w:hAnsi="Times New Roman"/>
                <w:b w:val="false"/>
                <w:bCs w:val="false"/>
                <w:sz w:val="24"/>
                <w:szCs w:val="24"/>
              </w:rPr>
              <w:t xml:space="preserve">Observed proceedings in 5 matters</w:t>
            </w:r>
          </w:p>
        </w:tc>
      </w:tr>
    </w:tbl>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PROCEDURE OBSERVED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1. Disputes relating to retrenchment, termination and non-payment of wages were heard.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2. In a retrenchment dispute, management produced documentary evidence of financial loss.</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3. Workman's counsel argued that retrenchment procedure under Section 25F of the ID Act was not followed.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4. Conciliation proceedings had already failed before the matter reached the Tribunal.</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5. Award of Tribunal in one matter was being challenged through writ petition — Tribunal explained impact.</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6. In one matter, parties agreed to explore settlement before the Tribunal — Tribunal facilitated.</w:t>
      </w:r>
    </w:p>
    <w:p>
      <w:pPr>
        <w:spacing w:after="80" w:before="0" w:line="480"/>
        <w:jc w:val="left"/>
      </w:pPr>
      <w:r>
        <w:rPr>
          <w:rFonts w:ascii="Times New Roman" w:cs="Times New Roman" w:eastAsia="Times New Roman" w:hAnsi="Times New Roman"/>
          <w:b w:val="false"/>
          <w:bCs w:val="false"/>
          <w:i w:val="false"/>
          <w:iCs w:val="false"/>
          <w:color w:val="000000"/>
          <w:sz w:val="24"/>
          <w:szCs w:val="24"/>
        </w:rPr>
        <w:t xml:space="preserve">7. Witness examination was conducted — Tribunal followed Evidence Act principles broadly.</w:t>
      </w:r>
    </w:p>
    <w:p>
      <w:pPr>
        <w:spacing w:after="0" w:before="0"/>
      </w:pPr>
      <w:r>
        <w:rPr>
          <w:rFonts w:ascii="Times New Roman" w:cs="Times New Roman" w:eastAsia="Times New Roman" w:hAnsi="Times New Roman"/>
          <w:sz w:val="24"/>
          <w:szCs w:val="24"/>
        </w:rPr>
        <w:t xml:space="preserve"/>
      </w:r>
    </w:p>
    <w:p>
      <w:pPr>
        <w:spacing w:after="120" w:before="200" w:line="360"/>
        <w:jc w:val="left"/>
      </w:pPr>
      <w:r>
        <w:rPr>
          <w:rFonts w:ascii="Times New Roman" w:cs="Times New Roman" w:eastAsia="Times New Roman" w:hAnsi="Times New Roman"/>
          <w:b/>
          <w:bCs/>
          <w:sz w:val="28"/>
          <w:szCs w:val="28"/>
          <w:u w:val="single"/>
        </w:rPr>
        <w:t xml:space="preserve">KEY OBSERVATIONS AND ANALYSIS</w:t>
      </w:r>
    </w:p>
    <w:p>
      <w:pPr>
        <w:spacing w:after="160" w:before="0" w:line="480"/>
        <w:jc w:val="left"/>
      </w:pPr>
      <w:r>
        <w:rPr>
          <w:rFonts w:ascii="Times New Roman" w:cs="Times New Roman" w:eastAsia="Times New Roman" w:hAnsi="Times New Roman"/>
          <w:b w:val="false"/>
          <w:bCs w:val="false"/>
          <w:i w:val="false"/>
          <w:iCs w:val="false"/>
          <w:color w:val="000000"/>
          <w:sz w:val="24"/>
          <w:szCs w:val="24"/>
        </w:rPr>
        <w:t xml:space="preserve">Labour Tribunal proceedings showed that industrial disputes involve not just legal questions but deep socio-economic considerations. The Tribunal had a broader remedial power than civil courts — could order reinstatement with back wages. The role of the Conciliation Officer (failed conciliation) was visible in the record. Procedurally, the Tribunal was more flexible than a civil court. The most significant observation was how collective bargaining and trade union strength affected the proceedings.</w:t>
      </w:r>
    </w:p>
    <w:p>
      <w:pPr>
        <w:spacing w:after="120" w:before="200" w:line="360"/>
        <w:jc w:val="left"/>
      </w:pPr>
      <w:r>
        <w:rPr>
          <w:rFonts w:ascii="Times New Roman" w:cs="Times New Roman" w:eastAsia="Times New Roman" w:hAnsi="Times New Roman"/>
          <w:b/>
          <w:bCs/>
          <w:sz w:val="28"/>
          <w:szCs w:val="28"/>
          <w:u w:val="single"/>
        </w:rPr>
        <w:t xml:space="preserve">APPLICABLE LAW</w:t>
      </w:r>
    </w:p>
    <w:p>
      <w:pPr>
        <w:spacing w:after="200" w:before="0" w:line="480"/>
        <w:jc w:val="left"/>
      </w:pPr>
      <w:r>
        <w:rPr>
          <w:rFonts w:ascii="Times New Roman" w:cs="Times New Roman" w:eastAsia="Times New Roman" w:hAnsi="Times New Roman"/>
          <w:b w:val="false"/>
          <w:bCs w:val="false"/>
          <w:i w:val="false"/>
          <w:iCs w:val="false"/>
          <w:color w:val="000000"/>
          <w:sz w:val="24"/>
          <w:szCs w:val="24"/>
        </w:rPr>
        <w:t xml:space="preserve">Industrial Disputes Act, 1947 — Sections 7A, 25F, 25G, 25H. Code on Industrial Relations, 2020.</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40"/>
        <w:gridCol w:w="2340"/>
        <w:gridCol w:w="2340"/>
        <w:gridCol w:w="2340"/>
      </w:tblGrid>
      <w:tr>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Marks Awarded</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______ / 3.33</w:t>
            </w:r>
          </w:p>
        </w:tc>
        <w:tc>
          <w:tcPr>
            <w:tcW w:type="dxa" w:w="2340"/>
            <w:shd w:fill="D9D9D9" w:val="clear"/>
            <w:vAlign w:val="center"/>
          </w:tcPr>
          <w:p>
            <w:pPr>
              <w:spacing w:after="60" w:before="60"/>
              <w:jc w:val="left"/>
            </w:pPr>
            <w:r>
              <w:rPr>
                <w:rFonts w:ascii="Times New Roman" w:cs="Times New Roman" w:eastAsia="Times New Roman" w:hAnsi="Times New Roman"/>
                <w:b/>
                <w:bCs/>
                <w:sz w:val="24"/>
                <w:szCs w:val="24"/>
              </w:rPr>
              <w:t xml:space="preserve">Teacher's Signature</w:t>
            </w:r>
          </w:p>
        </w:tc>
        <w:tc>
          <w:tcPr>
            <w:tcW w:type="dxa" w:w="2340"/>
            <w:vAlign w:val="center"/>
          </w:tcPr>
          <w:p>
            <w:pPr>
              <w:spacing w:after="60" w:before="60"/>
              <w:jc w:val="center"/>
            </w:pPr>
            <w:r>
              <w:rPr>
                <w:rFonts w:ascii="Times New Roman" w:cs="Times New Roman" w:eastAsia="Times New Roman" w:hAnsi="Times New Roman"/>
                <w:b w:val="false"/>
                <w:bCs w:val="false"/>
                <w:sz w:val="24"/>
                <w:szCs w:val="24"/>
              </w:rPr>
              <w:t xml:space="preserve"/>
            </w:r>
          </w:p>
        </w:tc>
      </w:tr>
    </w:tbl>
    <w:sectPr>
      <w:pgSz w:w="11906" w:h="16838" w:orient="portrait"/>
      <w:pgMar w:top="1440" w:right="1080" w:bottom="1440" w:left="1440" w:header="708" w:footer="708" w:gutter="0"/>
      <w:pgBorders>
        <w:top w:val="single" w:color="000000" w:sz="12" w:space="24"/>
        <w:left w:val="single" w:color="000000" w:sz="12" w:space="24"/>
        <w:bottom w:val="single" w:color="000000" w:sz="12" w:space="24"/>
        <w:right w:val="single" w:color="000000" w:sz="12" w:space="24"/>
      </w:pgBorders>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2026-07-05T16:29:17.754Z</dcterms:created>
  <dcterms:modified xsi:type="dcterms:W3CDTF">2026-07-05T16:29:17.767Z</dcterms:modified>
</cp:coreProperties>
</file>

<file path=docProps/custom.xml><?xml version="1.0" encoding="utf-8"?>
<Properties xmlns="http://schemas.openxmlformats.org/officeDocument/2006/custom-properties" xmlns:vt="http://schemas.openxmlformats.org/officeDocument/2006/docPropsVTypes"/>
</file>