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styles.xml" ContentType="application/vnd.openxmlformats-officedocument.wordprocessingml.styles+xml"/>
  <Override PartName="/word/footer1.xml" ContentType="application/vnd.openxmlformats-officedocument.wordprocessingml.footer+xml"/>
  <Override PartName="/word/document.xml" ContentType="application/vnd.openxmlformats-officedocument.wordprocessingml.document.main+xml"/>
  <Override PartName="/word/footnotes.xml" ContentType="application/vnd.openxmlformats-officedocument.wordprocessingml.footnotes+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itle"/>
        <w:rPr/>
      </w:pPr>
      <w:r>
        <w:rPr/>
        <w:t>Dateiorganisation für Kleinunternehmen: Mensch- und KI-freundliche Strategien</w:t>
      </w:r>
    </w:p>
    <w:p>
      <w:pPr>
        <w:pStyle w:val="Author"/>
        <w:rPr/>
      </w:pPr>
      <w:r>
        <w:rPr/>
        <w:t>Deep Researcher (deep-research.leon.fm)</w:t>
      </w:r>
    </w:p>
    <w:p>
      <w:pPr>
        <w:pStyle w:val="Date"/>
        <w:rPr/>
      </w:pPr>
      <w:r>
        <w:rPr/>
        <w:t>2026-04-01</w:t>
      </w:r>
    </w:p>
    <w:sdt>
      <w:sdtPr>
        <w:docPartObj>
          <w:docPartGallery w:val="Table of Contents"/>
          <w:docPartUnique w:val="true"/>
        </w:docPartObj>
      </w:sdtPr>
      <w:sdtContent>
        <w:p>
          <w:pPr>
            <w:pStyle w:val="TOCHeading"/>
            <w:rPr/>
          </w:pPr>
          <w:r>
            <w:rPr/>
            <w:t>Table of Contents</w:t>
          </w:r>
        </w:p>
        <w:p>
          <w:pPr>
            <w:pStyle w:val="TOC1"/>
            <w:tabs>
              <w:tab w:val="clear" w:pos="9360"/>
              <w:tab w:val="right" w:pos="9359" w:leader="dot"/>
            </w:tabs>
            <w:rPr/>
          </w:pPr>
          <w:r>
            <w:fldChar w:fldCharType="begin"/>
          </w:r>
          <w:r>
            <w:rPr>
              <w:rStyle w:val="IndexLink"/>
              <w:webHidden/>
            </w:rPr>
            <w:instrText xml:space="preserve"> TOC \z \o "1-3" \u \h</w:instrText>
          </w:r>
          <w:r>
            <w:rPr>
              <w:rStyle w:val="IndexLink"/>
              <w:webHidden/>
            </w:rPr>
            <w:fldChar w:fldCharType="separate"/>
          </w:r>
          <w:hyperlink w:anchor="__RefHeading___Toc1650_3375891513" w:tooltip="Dateiorganisation für Kleinunternehmen: Mensch- und KI-freundliche Strategien">
            <w:r>
              <w:rPr>
                <w:rStyle w:val="IndexLink"/>
                <w:webHidden/>
              </w:rPr>
              <w:t>Dateiorganisation für Kleinunternehmen: Mensch- und KI-freundliche Strategien</w:t>
              <w:tab/>
              <w:t>2</w:t>
            </w:r>
          </w:hyperlink>
        </w:p>
        <w:p>
          <w:pPr>
            <w:pStyle w:val="TOC2"/>
            <w:tabs>
              <w:tab w:val="clear" w:pos="9077"/>
              <w:tab w:val="right" w:pos="9359" w:leader="dot"/>
            </w:tabs>
            <w:rPr/>
          </w:pPr>
          <w:hyperlink w:anchor="__RefHeading___Toc1652_3375891513" w:tooltip="Kernaussagen">
            <w:r>
              <w:rPr>
                <w:rStyle w:val="IndexLink"/>
                <w:webHidden/>
              </w:rPr>
              <w:t>Kernaussagen</w:t>
              <w:tab/>
              <w:t>2</w:t>
            </w:r>
          </w:hyperlink>
        </w:p>
        <w:p>
          <w:pPr>
            <w:pStyle w:val="TOC2"/>
            <w:tabs>
              <w:tab w:val="clear" w:pos="9077"/>
              <w:tab w:val="right" w:pos="9359" w:leader="dot"/>
            </w:tabs>
            <w:rPr/>
          </w:pPr>
          <w:hyperlink w:anchor="__RefHeading___Toc1654_3375891513" w:tooltip="1. Ordnungssysteme im Vergleich">
            <w:r>
              <w:rPr>
                <w:rStyle w:val="IndexLink"/>
                <w:webHidden/>
              </w:rPr>
              <w:t>1. Ordnungssysteme im Vergleich</w:t>
              <w:tab/>
              <w:t>3</w:t>
            </w:r>
          </w:hyperlink>
        </w:p>
        <w:p>
          <w:pPr>
            <w:pStyle w:val="TOC3"/>
            <w:tabs>
              <w:tab w:val="clear" w:pos="8793"/>
              <w:tab w:val="right" w:pos="9359" w:leader="dot"/>
            </w:tabs>
            <w:rPr/>
          </w:pPr>
          <w:hyperlink w:anchor="__RefHeading___Toc1656_3375891513" w:tooltip="1.1 Das 7-Ordner-System (Empfehlung für deutsche KMU)">
            <w:r>
              <w:rPr>
                <w:rStyle w:val="IndexLink"/>
                <w:webHidden/>
              </w:rPr>
              <w:t>1.1 Das 7-Ordner-System (Empfehlung für deutsche KMU)</w:t>
              <w:tab/>
              <w:t>3</w:t>
            </w:r>
          </w:hyperlink>
        </w:p>
        <w:p>
          <w:pPr>
            <w:pStyle w:val="TOC3"/>
            <w:tabs>
              <w:tab w:val="clear" w:pos="8793"/>
              <w:tab w:val="right" w:pos="9359" w:leader="dot"/>
            </w:tabs>
            <w:rPr/>
          </w:pPr>
          <w:hyperlink w:anchor="__RefHeading___Toc1658_3375891513" w:tooltip="1.2 Johnny.Decimal">
            <w:r>
              <w:rPr>
                <w:rStyle w:val="IndexLink"/>
                <w:webHidden/>
              </w:rPr>
              <w:t>1.2 Johnny.Decimal</w:t>
              <w:tab/>
              <w:t>3</w:t>
            </w:r>
          </w:hyperlink>
        </w:p>
        <w:p>
          <w:pPr>
            <w:pStyle w:val="TOC3"/>
            <w:tabs>
              <w:tab w:val="clear" w:pos="8793"/>
              <w:tab w:val="right" w:pos="9359" w:leader="dot"/>
            </w:tabs>
            <w:rPr/>
          </w:pPr>
          <w:hyperlink w:anchor="__RefHeading___Toc1660_3375891513" w:tooltip="1.3 PARA (Projects, Areas, Resources, Archives)">
            <w:r>
              <w:rPr>
                <w:rStyle w:val="IndexLink"/>
                <w:webHidden/>
              </w:rPr>
              <w:t>1.3 PARA (Projects, Areas, Resources, Archives)</w:t>
              <w:tab/>
              <w:t>4</w:t>
            </w:r>
          </w:hyperlink>
        </w:p>
        <w:p>
          <w:pPr>
            <w:pStyle w:val="TOC3"/>
            <w:tabs>
              <w:tab w:val="clear" w:pos="8793"/>
              <w:tab w:val="right" w:pos="9359" w:leader="dot"/>
            </w:tabs>
            <w:rPr/>
          </w:pPr>
          <w:hyperlink w:anchor="__RefHeading___Toc1662_3375891513" w:tooltip="1.4 Vergleichsmatrix">
            <w:r>
              <w:rPr>
                <w:rStyle w:val="IndexLink"/>
                <w:webHidden/>
              </w:rPr>
              <w:t>1.4 Vergleichsmatrix</w:t>
              <w:tab/>
              <w:t>4</w:t>
            </w:r>
          </w:hyperlink>
        </w:p>
        <w:p>
          <w:pPr>
            <w:pStyle w:val="TOC2"/>
            <w:tabs>
              <w:tab w:val="clear" w:pos="9077"/>
              <w:tab w:val="right" w:pos="9359" w:leader="dot"/>
            </w:tabs>
            <w:rPr/>
          </w:pPr>
          <w:hyperlink w:anchor="__RefHeading___Toc1664_3375891513" w:tooltip="2. GoBD-Compliance &amp; Aufbewahrungspflichten">
            <w:r>
              <w:rPr>
                <w:rStyle w:val="IndexLink"/>
                <w:webHidden/>
              </w:rPr>
              <w:t>2. GoBD-Compliance &amp; Aufbewahrungspflichten</w:t>
              <w:tab/>
              <w:t>5</w:t>
            </w:r>
          </w:hyperlink>
        </w:p>
        <w:p>
          <w:pPr>
            <w:pStyle w:val="TOC3"/>
            <w:tabs>
              <w:tab w:val="clear" w:pos="8793"/>
              <w:tab w:val="right" w:pos="9359" w:leader="dot"/>
            </w:tabs>
            <w:rPr/>
          </w:pPr>
          <w:hyperlink w:anchor="__RefHeading___Toc1666_3375891513" w:tooltip="2.1 Neue Fristen seit BEG IV 2025">
            <w:r>
              <w:rPr>
                <w:rStyle w:val="IndexLink"/>
                <w:webHidden/>
              </w:rPr>
              <w:t>2.1 Neue Fristen seit BEG IV 2025</w:t>
              <w:tab/>
              <w:t>5</w:t>
            </w:r>
          </w:hyperlink>
        </w:p>
        <w:p>
          <w:pPr>
            <w:pStyle w:val="TOC3"/>
            <w:tabs>
              <w:tab w:val="clear" w:pos="8793"/>
              <w:tab w:val="right" w:pos="9359" w:leader="dot"/>
            </w:tabs>
            <w:rPr/>
          </w:pPr>
          <w:hyperlink w:anchor="__RefHeading___Toc1668_3375891513" w:tooltip="2.2 E-Rechnungspflicht 2025–2028">
            <w:r>
              <w:rPr>
                <w:rStyle w:val="IndexLink"/>
                <w:webHidden/>
              </w:rPr>
              <w:t>2.2 E-Rechnungspflicht 2025–2028</w:t>
              <w:tab/>
              <w:t>5</w:t>
            </w:r>
          </w:hyperlink>
        </w:p>
        <w:p>
          <w:pPr>
            <w:pStyle w:val="TOC3"/>
            <w:tabs>
              <w:tab w:val="clear" w:pos="8793"/>
              <w:tab w:val="right" w:pos="9359" w:leader="dot"/>
            </w:tabs>
            <w:rPr/>
          </w:pPr>
          <w:hyperlink w:anchor="__RefHeading___Toc1670_3375891513" w:tooltip="2.3 Verfahrensdokumentation">
            <w:r>
              <w:rPr>
                <w:rStyle w:val="IndexLink"/>
                <w:webHidden/>
              </w:rPr>
              <w:t>2.3 Verfahrensdokumentation</w:t>
              <w:tab/>
              <w:t>6</w:t>
            </w:r>
          </w:hyperlink>
        </w:p>
        <w:p>
          <w:pPr>
            <w:pStyle w:val="TOC2"/>
            <w:tabs>
              <w:tab w:val="clear" w:pos="9077"/>
              <w:tab w:val="right" w:pos="9359" w:leader="dot"/>
            </w:tabs>
            <w:rPr/>
          </w:pPr>
          <w:hyperlink w:anchor="__RefHeading___Toc1672_3375891513" w:tooltip="3. KI-Agenten-freundliche Dateisysteme">
            <w:r>
              <w:rPr>
                <w:rStyle w:val="IndexLink"/>
                <w:webHidden/>
              </w:rPr>
              <w:t>3. KI-Agenten-freundliche Dateisysteme</w:t>
              <w:tab/>
              <w:t>6</w:t>
            </w:r>
          </w:hyperlink>
        </w:p>
        <w:p>
          <w:pPr>
            <w:pStyle w:val="TOC3"/>
            <w:tabs>
              <w:tab w:val="clear" w:pos="8793"/>
              <w:tab w:val="right" w:pos="9359" w:leader="dot"/>
            </w:tabs>
            <w:rPr/>
          </w:pPr>
          <w:hyperlink w:anchor="__RefHeading___Toc1674_3375891513" w:tooltip="3.1 Markdown als Standardformat">
            <w:r>
              <w:rPr>
                <w:rStyle w:val="IndexLink"/>
                <w:webHidden/>
              </w:rPr>
              <w:t>3.1 Markdown als Standardformat</w:t>
              <w:tab/>
              <w:t>6</w:t>
            </w:r>
          </w:hyperlink>
        </w:p>
        <w:p>
          <w:pPr>
            <w:pStyle w:val="TOC3"/>
            <w:tabs>
              <w:tab w:val="clear" w:pos="8793"/>
              <w:tab w:val="right" w:pos="9359" w:leader="dot"/>
            </w:tabs>
            <w:rPr/>
          </w:pPr>
          <w:hyperlink w:anchor="__RefHeading___Toc1676_3375891513" w:tooltip="3.2 YAML-Frontmatter als Metadaten">
            <w:r>
              <w:rPr>
                <w:rStyle w:val="IndexLink"/>
                <w:webHidden/>
              </w:rPr>
              <w:t>3.2 YAML-Frontmatter als Metadaten</w:t>
              <w:tab/>
              <w:t>7</w:t>
            </w:r>
          </w:hyperlink>
        </w:p>
        <w:p>
          <w:pPr>
            <w:pStyle w:val="TOC3"/>
            <w:tabs>
              <w:tab w:val="clear" w:pos="8793"/>
              <w:tab w:val="right" w:pos="9359" w:leader="dot"/>
            </w:tabs>
            <w:rPr/>
          </w:pPr>
          <w:hyperlink w:anchor="__RefHeading___Toc1678_3375891513" w:tooltip="3.3 AGENTS.md und CLAUDE.md">
            <w:r>
              <w:rPr>
                <w:rStyle w:val="IndexLink"/>
                <w:webHidden/>
              </w:rPr>
              <w:t>3.3 AGENTS.md und CLAUDE.md</w:t>
              <w:tab/>
              <w:t>7</w:t>
            </w:r>
          </w:hyperlink>
        </w:p>
        <w:p>
          <w:pPr>
            <w:pStyle w:val="TOC3"/>
            <w:tabs>
              <w:tab w:val="clear" w:pos="8793"/>
              <w:tab w:val="right" w:pos="9359" w:leader="dot"/>
            </w:tabs>
            <w:rPr/>
          </w:pPr>
          <w:hyperlink w:anchor="__RefHeading___Toc1680_3375891513" w:tooltip="3.4 Git als Audit Trail">
            <w:r>
              <w:rPr>
                <w:rStyle w:val="IndexLink"/>
                <w:webHidden/>
              </w:rPr>
              <w:t>3.4 Git als Audit Trail</w:t>
              <w:tab/>
              <w:t>7</w:t>
            </w:r>
          </w:hyperlink>
        </w:p>
        <w:p>
          <w:pPr>
            <w:pStyle w:val="TOC2"/>
            <w:tabs>
              <w:tab w:val="clear" w:pos="9077"/>
              <w:tab w:val="right" w:pos="9359" w:leader="dot"/>
            </w:tabs>
            <w:rPr/>
          </w:pPr>
          <w:hyperlink w:anchor="__RefHeading___Toc1682_3375891513" w:tooltip="4. Dateinamen, Formate &amp; Werkzeuge">
            <w:r>
              <w:rPr>
                <w:rStyle w:val="IndexLink"/>
                <w:webHidden/>
              </w:rPr>
              <w:t>4. Dateinamen, Formate &amp; Werkzeuge</w:t>
              <w:tab/>
              <w:t>8</w:t>
            </w:r>
          </w:hyperlink>
        </w:p>
        <w:p>
          <w:pPr>
            <w:pStyle w:val="TOC3"/>
            <w:tabs>
              <w:tab w:val="clear" w:pos="8793"/>
              <w:tab w:val="right" w:pos="9359" w:leader="dot"/>
            </w:tabs>
            <w:rPr/>
          </w:pPr>
          <w:hyperlink w:anchor="__RefHeading___Toc1684_3375891513" w:tooltip="4.1 Benennungskonventionen">
            <w:r>
              <w:rPr>
                <w:rStyle w:val="IndexLink"/>
                <w:webHidden/>
              </w:rPr>
              <w:t>4.1 Benennungskonventionen</w:t>
              <w:tab/>
              <w:t>8</w:t>
            </w:r>
          </w:hyperlink>
        </w:p>
        <w:p>
          <w:pPr>
            <w:pStyle w:val="TOC3"/>
            <w:tabs>
              <w:tab w:val="clear" w:pos="8793"/>
              <w:tab w:val="right" w:pos="9359" w:leader="dot"/>
            </w:tabs>
            <w:rPr/>
          </w:pPr>
          <w:hyperlink w:anchor="__RefHeading___Toc1686_3375891513" w:tooltip="4.2 DMS-Lösungen im Vergleich">
            <w:r>
              <w:rPr>
                <w:rStyle w:val="IndexLink"/>
                <w:webHidden/>
              </w:rPr>
              <w:t>4.2 DMS-Lösungen im Vergleich</w:t>
              <w:tab/>
              <w:t>8</w:t>
            </w:r>
          </w:hyperlink>
        </w:p>
        <w:p>
          <w:pPr>
            <w:pStyle w:val="TOC3"/>
            <w:tabs>
              <w:tab w:val="clear" w:pos="8793"/>
              <w:tab w:val="right" w:pos="9359" w:leader="dot"/>
            </w:tabs>
            <w:rPr/>
          </w:pPr>
          <w:hyperlink w:anchor="__RefHeading___Toc1688_3375891513" w:tooltip="4.3 OCR &amp; Digitalisierung">
            <w:r>
              <w:rPr>
                <w:rStyle w:val="IndexLink"/>
                <w:webHidden/>
              </w:rPr>
              <w:t>4.3 OCR &amp; Digitalisierung</w:t>
              <w:tab/>
              <w:t>9</w:t>
            </w:r>
          </w:hyperlink>
        </w:p>
        <w:p>
          <w:pPr>
            <w:pStyle w:val="TOC2"/>
            <w:tabs>
              <w:tab w:val="clear" w:pos="9077"/>
              <w:tab w:val="right" w:pos="9359" w:leader="dot"/>
            </w:tabs>
            <w:rPr/>
          </w:pPr>
          <w:hyperlink w:anchor="__RefHeading___Toc1690_3375891513" w:tooltip="Einschränkungen &amp; offene Fragen">
            <w:r>
              <w:rPr>
                <w:rStyle w:val="IndexLink"/>
                <w:webHidden/>
              </w:rPr>
              <w:t>Einschränkungen &amp; offene Fragen</w:t>
              <w:tab/>
              <w:t>9</w:t>
            </w:r>
          </w:hyperlink>
          <w:r>
            <w:rPr>
              <w:rStyle w:val="IndexLink"/>
            </w:rPr>
            <w:fldChar w:fldCharType="end"/>
          </w:r>
        </w:p>
      </w:sdtContent>
    </w:sdt>
    <w:p>
      <w:pPr>
        <w:pStyle w:val="Heading1"/>
        <w:rPr/>
      </w:pPr>
      <w:bookmarkStart w:id="0" w:name="__RefHeading___Toc1650_3375891513"/>
      <w:bookmarkStart w:id="1" w:name="X4a60dbc20fb0adbba1ceae8fea88f42392362a5"/>
      <w:bookmarkEnd w:id="0"/>
      <w:r>
        <w:rPr/>
        <w:t>Dateiorganisation für Kleinunternehmen: Mensch- und KI-freundliche Strategien</w:t>
      </w:r>
    </w:p>
    <w:p>
      <w:pPr>
        <w:pStyle w:val="Heading2"/>
        <w:rPr/>
      </w:pPr>
      <w:bookmarkStart w:id="2" w:name="__RefHeading___Toc1652_3375891513"/>
      <w:bookmarkStart w:id="3" w:name="kernaussagen"/>
      <w:bookmarkEnd w:id="2"/>
      <w:r>
        <w:rPr/>
        <w:t>Kernaussagen</w:t>
      </w:r>
    </w:p>
    <w:p>
      <w:pPr>
        <w:pStyle w:val="Compact"/>
        <w:numPr>
          <w:ilvl w:val="0"/>
          <w:numId w:val="1"/>
        </w:numPr>
        <w:rPr/>
      </w:pPr>
      <w:r>
        <w:rPr>
          <w:b/>
          <w:bCs/>
        </w:rPr>
        <w:t>Maximal 3 Ordnerebenen, maximal 7 Ordner pro Ebene.</w:t>
      </w:r>
      <w:r>
        <w:rPr/>
        <w:t xml:space="preserve"> Das 7-Ordner-System</w:t>
      </w:r>
      <w:r>
        <w:rPr>
          <w:rStyle w:val="FootnoteReference"/>
        </w:rPr>
        <w:footnoteReference w:id="2"/>
      </w:r>
      <w:r>
        <w:rPr/>
        <w:t xml:space="preserve"> ist der pragmatischste Ansatz für deutsche Kleinunternehmen — psychologisch fundiert, KI-kompatibel und GoBD-tauglich. Johnny.Decimal bietet mehr Struktur, PARA ist für Wissensmanagement gedacht, nicht für Unternehmensdokumente.</w:t>
      </w:r>
    </w:p>
    <w:p>
      <w:pPr>
        <w:pStyle w:val="Compact"/>
        <w:numPr>
          <w:ilvl w:val="0"/>
          <w:numId w:val="1"/>
        </w:numPr>
        <w:rPr/>
      </w:pPr>
      <w:r>
        <w:rPr>
          <w:b/>
          <w:bCs/>
        </w:rPr>
        <w:t>GoBD-Compliance ist Pflicht, nicht Kür.</w:t>
      </w:r>
      <w:r>
        <w:rPr/>
        <w:t xml:space="preserve"> Seit dem BEG IV 2025</w:t>
      </w:r>
      <w:r>
        <w:rPr>
          <w:rStyle w:val="FootnoteReference"/>
        </w:rPr>
        <w:footnoteReference w:id="3"/>
      </w:r>
      <w:r>
        <w:rPr/>
        <w:t xml:space="preserve"> gelten verkürzte Aufbewahrungsfristen (Buchungsbelege 8 statt 10 Jahre), aber die E-Rechnungspflicht</w:t>
      </w:r>
      <w:r>
        <w:rPr>
          <w:rStyle w:val="FootnoteReference"/>
        </w:rPr>
        <w:footnoteReference w:id="4"/>
      </w:r>
      <w:r>
        <w:rPr/>
        <w:t xml:space="preserve"> ab 2025 (Empfang) und 2028 (Versand) erfordert neue digitale Infrastruktur — auch für Kleinunternehmer.</w:t>
      </w:r>
    </w:p>
    <w:p>
      <w:pPr>
        <w:pStyle w:val="Compact"/>
        <w:numPr>
          <w:ilvl w:val="0"/>
          <w:numId w:val="1"/>
        </w:numPr>
        <w:rPr/>
      </w:pPr>
      <w:r>
        <w:rPr>
          <w:b/>
          <w:bCs/>
        </w:rPr>
        <w:t>Markdown mit YAML-Frontmatter ist das KI-optimale Format.</w:t>
      </w:r>
      <w:r>
        <w:rPr/>
        <w:t xml:space="preserve"> Cloudflare zeigt: Markdown verbraucht 80 % weniger Tokens als HTML</w:t>
      </w:r>
      <w:r>
        <w:rPr>
          <w:rStyle w:val="FootnoteReference"/>
        </w:rPr>
        <w:footnoteReference w:id="5"/>
      </w:r>
      <w:r>
        <w:rPr/>
        <w:t>. YAML-Frontmatter ermöglicht 30–40 % höhere Extraktionsgenauigkeit</w:t>
      </w:r>
      <w:r>
        <w:rPr>
          <w:rStyle w:val="FootnoteReference"/>
        </w:rPr>
        <w:footnoteReference w:id="6"/>
      </w:r>
      <w:r>
        <w:rPr/>
        <w:t xml:space="preserve"> gegenüber Fließtext.</w:t>
      </w:r>
    </w:p>
    <w:p>
      <w:pPr>
        <w:pStyle w:val="Compact"/>
        <w:numPr>
          <w:ilvl w:val="0"/>
          <w:numId w:val="1"/>
        </w:numPr>
        <w:rPr/>
      </w:pPr>
      <w:r>
        <w:rPr>
          <w:b/>
          <w:bCs/>
        </w:rPr>
        <w:t>AGENTS.md ist der neue Standard.</w:t>
      </w:r>
      <w:r>
        <w:rPr/>
        <w:t xml:space="preserve"> Von der Linux Foundation verwaltet</w:t>
      </w:r>
      <w:r>
        <w:rPr>
          <w:rStyle w:val="FootnoteReference"/>
        </w:rPr>
        <w:footnoteReference w:id="7"/>
      </w:r>
      <w:r>
        <w:rPr/>
        <w:t xml:space="preserve"> und in über 60.000 Projekten genutzt, gibt eine einzelne Markdown-Datei allen gängigen KI-Agenten Projektkontext.</w:t>
      </w:r>
    </w:p>
    <w:p>
      <w:pPr>
        <w:pStyle w:val="Compact"/>
        <w:numPr>
          <w:ilvl w:val="0"/>
          <w:numId w:val="1"/>
        </w:numPr>
        <w:rPr/>
      </w:pPr>
      <w:r>
        <w:rPr>
          <w:b/>
          <w:bCs/>
        </w:rPr>
        <w:t>Paperless-ngx + sevDesk ist ein starkes Duo für technikaffine Gründer.</w:t>
      </w:r>
      <w:r>
        <w:rPr/>
        <w:t xml:space="preserve"> Paperless-ngx übernimmt OCR und Dokumentenarchivierung, sevDesk die Buchhaltung mit DATEV-Export</w:t>
      </w:r>
      <w:r>
        <w:rPr>
          <w:rStyle w:val="FootnoteReference"/>
        </w:rPr>
        <w:footnoteReference w:id="8"/>
      </w:r>
      <w:r>
        <w:rPr/>
        <w:t>. Eine Open-Source-Bridge</w:t>
      </w:r>
      <w:r>
        <w:rPr>
          <w:rStyle w:val="FootnoteReference"/>
        </w:rPr>
        <w:footnoteReference w:id="9"/>
      </w:r>
      <w:r>
        <w:rPr/>
        <w:t xml:space="preserve"> verbindet beide automatisch.</w:t>
      </w:r>
      <w:bookmarkEnd w:id="3"/>
    </w:p>
    <w:p>
      <w:pPr>
        <w:pStyle w:val="Heading2"/>
        <w:rPr/>
      </w:pPr>
      <w:bookmarkStart w:id="4" w:name="__RefHeading___Toc1654_3375891513"/>
      <w:bookmarkStart w:id="5" w:name="ordnungssysteme-im-vergleich"/>
      <w:bookmarkEnd w:id="4"/>
      <w:r>
        <w:rPr/>
        <w:t>1. Ordnungssysteme im Vergleich</w:t>
      </w:r>
    </w:p>
    <w:p>
      <w:pPr>
        <w:pStyle w:val="FirstParagraph"/>
        <w:rPr/>
      </w:pPr>
      <w:r>
        <w:rPr/>
        <w:t>Drei etablierte Systeme konkurrieren um die Organisation von Geschäftsdateien. Keines ist perfekt — die Wahl hängt von Unternehmensgröße, Branche und der Rolle von KI-Agenten ab.</w:t>
      </w:r>
    </w:p>
    <w:p>
      <w:pPr>
        <w:pStyle w:val="Heading3"/>
        <w:rPr/>
      </w:pPr>
      <w:bookmarkStart w:id="6" w:name="__RefHeading___Toc1656_3375891513"/>
      <w:bookmarkStart w:id="7" w:name="Xb2f2d7d8a16bfdbf0e98a54b7acdf82a411da46"/>
      <w:bookmarkEnd w:id="6"/>
      <w:r>
        <w:rPr/>
        <w:t>1.1 Das 7-Ordner-System (Empfehlung für deutsche KMU)</w:t>
      </w:r>
    </w:p>
    <w:p>
      <w:pPr>
        <w:pStyle w:val="FirstParagraph"/>
        <w:rPr/>
      </w:pPr>
      <w:r>
        <w:rPr/>
        <w:t>Das im deutschsprachigen Raum verbreitete Framework basiert auf der Millerschen Zahl</w:t>
      </w:r>
      <w:r>
        <w:rPr>
          <w:rStyle w:val="FootnoteReference"/>
        </w:rPr>
        <w:footnoteReference w:id="10"/>
      </w:r>
      <w:r>
        <w:rPr/>
        <w:t xml:space="preserve"> — das menschliche Arbeitsgedächtnis verarbeitet 7 ± 2 Elemente gleichzeitig. Daraus ergeben sich drei Regeln: maximal 7 Ordner pro Ebene, maximal 3 Ebenen tief, jedes Dokument in 3 Klicks erreichbar.</w:t>
      </w:r>
    </w:p>
    <w:p>
      <w:pPr>
        <w:pStyle w:val="BodyText"/>
        <w:rPr/>
      </w:pPr>
      <w:r>
        <w:rPr/>
        <w:t>Die empfohlene Nummerierung (</w:t>
      </w:r>
      <w:r>
        <w:rPr>
          <w:rStyle w:val="VerbatimChar"/>
        </w:rPr>
        <w:t>01-Finanzen</w:t>
      </w:r>
      <w:r>
        <w:rPr/>
        <w:t xml:space="preserve">, </w:t>
      </w:r>
      <w:r>
        <w:rPr>
          <w:rStyle w:val="VerbatimChar"/>
        </w:rPr>
        <w:t>02-Kunden</w:t>
      </w:r>
      <w:r>
        <w:rPr/>
        <w:t>, …) erzwingt deterministische Sortierung — ein Vorteil, der auch KI-Agenten zugute kommt, da alphabetische Sortierung betriebssystemübergreifend identisch ausfällt.</w:t>
      </w:r>
    </w:p>
    <w:p>
      <w:pPr>
        <w:pStyle w:val="BodyText"/>
        <w:rPr/>
      </w:pPr>
      <w:r>
        <w:rPr>
          <w:b/>
          <w:bCs/>
        </w:rPr>
        <w:t>Grenzen:</w:t>
      </w:r>
      <w:r>
        <w:rPr/>
        <w:t xml:space="preserve"> Bei vielen gleichzeitigen Projekten stößt die 7er-Begrenzung an Grenzen</w:t>
      </w:r>
      <w:r>
        <w:rPr>
          <w:rStyle w:val="FootnoteReference"/>
        </w:rPr>
        <w:footnoteReference w:id="11"/>
      </w:r>
      <w:r>
        <w:rPr/>
        <w:t>, und die Masse der Information liegt „wie bei einem Eisberg” in den unteren Ebenen verborgen. Typische Implementierungsfehler sind laut orgaMAX</w:t>
      </w:r>
      <w:r>
        <w:rPr>
          <w:rStyle w:val="FootnoteReference"/>
        </w:rPr>
        <w:footnoteReference w:id="12"/>
      </w:r>
      <w:r>
        <w:rPr/>
        <w:t>: inkonsistente Dateinamen, redundante Dokumente und ein Ordner „Sonstiges”, der zum Entropie-Sammelbecken wird.</w:t>
      </w:r>
      <w:bookmarkEnd w:id="7"/>
    </w:p>
    <w:p>
      <w:pPr>
        <w:pStyle w:val="Heading3"/>
        <w:rPr/>
      </w:pPr>
      <w:bookmarkStart w:id="8" w:name="__RefHeading___Toc1658_3375891513"/>
      <w:bookmarkStart w:id="9" w:name="johnny.decimal"/>
      <w:bookmarkEnd w:id="8"/>
      <w:r>
        <w:rPr/>
        <w:t>1.2 Johnny.Decimal</w:t>
      </w:r>
    </w:p>
    <w:p>
      <w:pPr>
        <w:pStyle w:val="FirstParagraph"/>
        <w:rPr/>
      </w:pPr>
      <w:r>
        <w:rPr/>
        <w:t>Johnny.Decimal</w:t>
      </w:r>
      <w:r>
        <w:rPr>
          <w:rStyle w:val="FootnoteReference"/>
        </w:rPr>
        <w:footnoteReference w:id="13"/>
      </w:r>
      <w:r>
        <w:rPr/>
        <w:t xml:space="preserve"> teilt alles in maximal 10 Bereiche mit je 10 Kategorien, adressiert über das Format </w:t>
      </w:r>
      <w:r>
        <w:rPr>
          <w:rStyle w:val="VerbatimChar"/>
        </w:rPr>
        <w:t>XX.XX</w:t>
      </w:r>
      <w:r>
        <w:rPr/>
        <w:t>. Das kaufbare Small Business System</w:t>
      </w:r>
      <w:r>
        <w:rPr>
          <w:rStyle w:val="FootnoteReference"/>
        </w:rPr>
        <w:footnoteReference w:id="14"/>
      </w:r>
      <w:r>
        <w:rPr/>
        <w:t xml:space="preserve"> liefert 21 Kategorien und 300+ vordefinierte IDs für $330.</w:t>
      </w:r>
    </w:p>
    <w:p>
      <w:pPr>
        <w:pStyle w:val="BodyText"/>
        <w:rPr/>
      </w:pPr>
      <w:r>
        <w:rPr>
          <w:b/>
          <w:bCs/>
        </w:rPr>
        <w:t>KI-Kompatibilität:</w:t>
      </w:r>
      <w:r>
        <w:rPr/>
        <w:t xml:space="preserve"> Exzellent — das feste Muster </w:t>
      </w:r>
      <w:r>
        <w:rPr>
          <w:rStyle w:val="VerbatimChar"/>
        </w:rPr>
        <w:t>\d{2}\.\d{2}</w:t>
      </w:r>
      <w:r>
        <w:rPr/>
        <w:t xml:space="preserve"> ist trivial per Regex erkennbar. Agenten können Referenzen hardcoden, da Nummern stabil bleiben.</w:t>
      </w:r>
    </w:p>
    <w:p>
      <w:pPr>
        <w:pStyle w:val="BodyText"/>
        <w:rPr/>
      </w:pPr>
      <w:r>
        <w:rPr>
          <w:b/>
          <w:bCs/>
        </w:rPr>
        <w:t>Nachteile:</w:t>
      </w:r>
      <w:r>
        <w:rPr/>
        <w:t xml:space="preserve"> Neue Projekte lassen sich schwer integrieren</w:t>
      </w:r>
      <w:r>
        <w:rPr>
          <w:rStyle w:val="FootnoteReference"/>
        </w:rPr>
        <w:footnoteReference w:id="15"/>
      </w:r>
      <w:r>
        <w:rPr/>
        <w:t>, da die Nummernstruktur beim Setup festgelegt wird. Archivierung ist umständlich, und die Nummern bieten außerhalb des Systems keinen Kontext — für den Austausch mit Steuerberatern oder externen Partnern problematisch.</w:t>
      </w:r>
      <w:bookmarkEnd w:id="9"/>
    </w:p>
    <w:p>
      <w:pPr>
        <w:pStyle w:val="Heading3"/>
        <w:rPr/>
      </w:pPr>
      <w:bookmarkStart w:id="10" w:name="__RefHeading___Toc1660_3375891513"/>
      <w:bookmarkStart w:id="11" w:name="para-projects-areas-resources-archives"/>
      <w:bookmarkEnd w:id="10"/>
      <w:r>
        <w:rPr/>
        <w:t>1.3 PARA (Projects, Areas, Resources, Archives)</w:t>
      </w:r>
    </w:p>
    <w:p>
      <w:pPr>
        <w:pStyle w:val="FirstParagraph"/>
        <w:rPr/>
      </w:pPr>
      <w:r>
        <w:rPr/>
        <w:t>Tiago Fortes PARA-Methode</w:t>
      </w:r>
      <w:r>
        <w:rPr>
          <w:rStyle w:val="FootnoteReference"/>
        </w:rPr>
        <w:footnoteReference w:id="16"/>
      </w:r>
      <w:r>
        <w:rPr/>
        <w:t xml:space="preserve"> sortiert nach Aktionalität statt Thema: Projects haben Deadlines, Areas sind laufende Verantwortungsbereiche, Resources Referenzmaterial, Archives inaktive Elemente. Die Methode ist toolagnostisch und funktioniert in jedem Dateisystem.</w:t>
      </w:r>
    </w:p>
    <w:p>
      <w:pPr>
        <w:pStyle w:val="BodyText"/>
        <w:rPr/>
      </w:pPr>
      <w:r>
        <w:rPr>
          <w:b/>
          <w:bCs/>
        </w:rPr>
        <w:t>Kritik:</w:t>
      </w:r>
      <w:r>
        <w:rPr/>
        <w:t xml:space="preserve"> PARA wurde für persönliches Wissensmanagement konzipiert, nicht für Unternehmensdokumentation</w:t>
      </w:r>
      <w:r>
        <w:rPr>
          <w:rStyle w:val="FootnoteReference"/>
        </w:rPr>
        <w:footnoteReference w:id="17"/>
      </w:r>
      <w:r>
        <w:rPr/>
        <w:t>. Die Grenzen zwischen Kategorien sind in der Praxis unklar</w:t>
      </w:r>
      <w:r>
        <w:rPr>
          <w:rStyle w:val="FootnoteReference"/>
        </w:rPr>
        <w:footnoteReference w:id="18"/>
      </w:r>
      <w:r>
        <w:rPr/>
        <w:t xml:space="preserve"> — besonders Projects vs. Areas. Ein deutscher Produktivitätsberater</w:t>
      </w:r>
      <w:r>
        <w:rPr>
          <w:rStyle w:val="FootnoteReference"/>
        </w:rPr>
        <w:footnoteReference w:id="19"/>
      </w:r>
      <w:r>
        <w:rPr/>
        <w:t xml:space="preserve"> bewertet den Verwaltungsaufwand als unverhältnismäßig und empfiehlt eine vereinfachte Variante.</w:t>
      </w:r>
      <w:bookmarkEnd w:id="11"/>
    </w:p>
    <w:p>
      <w:pPr>
        <w:pStyle w:val="Heading3"/>
        <w:rPr/>
      </w:pPr>
      <w:bookmarkStart w:id="12" w:name="__RefHeading___Toc1662_3375891513"/>
      <w:bookmarkStart w:id="13" w:name="vergleichsmatrix"/>
      <w:bookmarkEnd w:id="12"/>
      <w:r>
        <w:rPr/>
        <w:t>1.4 Vergleichsmatrix</w:t>
      </w:r>
    </w:p>
    <w:tbl>
      <w:tblPr>
        <w:tblStyle w:val="Table"/>
        <w:tblW w:w="5000" w:type="pct"/>
        <w:jc w:val="left"/>
        <w:tblInd w:w="0" w:type="dxa"/>
        <w:tblLayout w:type="fixed"/>
        <w:tblCellMar>
          <w:top w:w="0" w:type="dxa"/>
          <w:left w:w="108" w:type="dxa"/>
          <w:bottom w:w="0" w:type="dxa"/>
          <w:right w:w="108" w:type="dxa"/>
        </w:tblCellMar>
        <w:tblLook w:val="0020" w:noVBand="0" w:noHBand="0" w:lastColumn="0" w:firstColumn="0" w:lastRow="0" w:firstRow="1"/>
      </w:tblPr>
      <w:tblGrid>
        <w:gridCol w:w="2339"/>
        <w:gridCol w:w="2340"/>
        <w:gridCol w:w="2340"/>
        <w:gridCol w:w="2341"/>
      </w:tblGrid>
      <w:tr>
        <w:trPr>
          <w:tblHeader w:val="true"/>
        </w:trPr>
        <w:tc>
          <w:tcPr>
            <w:tcW w:w="2339"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Kriterium</w:t>
            </w:r>
          </w:p>
        </w:tc>
        <w:tc>
          <w:tcPr>
            <w:tcW w:w="2340"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7-Ordner-System</w:t>
            </w:r>
          </w:p>
        </w:tc>
        <w:tc>
          <w:tcPr>
            <w:tcW w:w="2340"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Johnny.Decimal</w:t>
            </w:r>
          </w:p>
        </w:tc>
        <w:tc>
          <w:tcPr>
            <w:tcW w:w="2341"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PARA</w:t>
            </w:r>
          </w:p>
        </w:tc>
      </w:tr>
      <w:tr>
        <w:trPr/>
        <w:tc>
          <w:tcPr>
            <w:tcW w:w="2339"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Lernkurve</w:t>
            </w:r>
          </w:p>
        </w:tc>
        <w:tc>
          <w:tcPr>
            <w:tcW w:w="23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Niedrig</w:t>
            </w:r>
          </w:p>
        </w:tc>
        <w:tc>
          <w:tcPr>
            <w:tcW w:w="23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Mittel</w:t>
            </w:r>
          </w:p>
        </w:tc>
        <w:tc>
          <w:tcPr>
            <w:tcW w:w="234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Mittel</w:t>
            </w:r>
          </w:p>
        </w:tc>
      </w:tr>
      <w:tr>
        <w:trPr/>
        <w:tc>
          <w:tcPr>
            <w:tcW w:w="2339"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KI-Kompatibilität</w:t>
            </w:r>
          </w:p>
        </w:tc>
        <w:tc>
          <w:tcPr>
            <w:tcW w:w="23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Gut (nummeriert)</w:t>
            </w:r>
          </w:p>
        </w:tc>
        <w:tc>
          <w:tcPr>
            <w:tcW w:w="23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Sehr gut (Regex-fähig)</w:t>
            </w:r>
          </w:p>
        </w:tc>
        <w:tc>
          <w:tcPr>
            <w:tcW w:w="234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Mäßig (dynamisch)</w:t>
            </w:r>
          </w:p>
        </w:tc>
      </w:tr>
      <w:tr>
        <w:trPr/>
        <w:tc>
          <w:tcPr>
            <w:tcW w:w="2339"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GoBD-Eignung</w:t>
            </w:r>
          </w:p>
        </w:tc>
        <w:tc>
          <w:tcPr>
            <w:tcW w:w="23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Gut</w:t>
            </w:r>
          </w:p>
        </w:tc>
        <w:tc>
          <w:tcPr>
            <w:tcW w:w="23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Gut</w:t>
            </w:r>
          </w:p>
        </w:tc>
        <w:tc>
          <w:tcPr>
            <w:tcW w:w="234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Schwach</w:t>
            </w:r>
          </w:p>
        </w:tc>
      </w:tr>
      <w:tr>
        <w:trPr/>
        <w:tc>
          <w:tcPr>
            <w:tcW w:w="2339"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Flexibilität</w:t>
            </w:r>
          </w:p>
        </w:tc>
        <w:tc>
          <w:tcPr>
            <w:tcW w:w="23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Mittel</w:t>
            </w:r>
          </w:p>
        </w:tc>
        <w:tc>
          <w:tcPr>
            <w:tcW w:w="23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Niedrig</w:t>
            </w:r>
          </w:p>
        </w:tc>
        <w:tc>
          <w:tcPr>
            <w:tcW w:w="234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Hoch</w:t>
            </w:r>
          </w:p>
        </w:tc>
      </w:tr>
      <w:tr>
        <w:trPr/>
        <w:tc>
          <w:tcPr>
            <w:tcW w:w="2339"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Kosten</w:t>
            </w:r>
          </w:p>
        </w:tc>
        <w:tc>
          <w:tcPr>
            <w:tcW w:w="23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Kostenlos</w:t>
            </w:r>
          </w:p>
        </w:tc>
        <w:tc>
          <w:tcPr>
            <w:tcW w:w="23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$330 (SBS)</w:t>
            </w:r>
          </w:p>
        </w:tc>
        <w:tc>
          <w:tcPr>
            <w:tcW w:w="234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Kostenlos</w:t>
            </w:r>
          </w:p>
        </w:tc>
      </w:tr>
      <w:tr>
        <w:trPr/>
        <w:tc>
          <w:tcPr>
            <w:tcW w:w="2339"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Deutsche KMU-Praxis</w:t>
            </w:r>
          </w:p>
        </w:tc>
        <w:tc>
          <w:tcPr>
            <w:tcW w:w="23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Weit verbreitet</w:t>
            </w:r>
          </w:p>
        </w:tc>
        <w:tc>
          <w:tcPr>
            <w:tcW w:w="23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Nische</w:t>
            </w:r>
          </w:p>
        </w:tc>
        <w:tc>
          <w:tcPr>
            <w:tcW w:w="234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Kaum verbreitet</w:t>
            </w:r>
          </w:p>
        </w:tc>
      </w:tr>
    </w:tbl>
    <w:p>
      <w:pPr>
        <w:pStyle w:val="BodyText"/>
        <w:rPr/>
      </w:pPr>
      <w:r>
        <w:rPr>
          <w:b/>
          <w:bCs/>
        </w:rPr>
        <w:t>Fazit:</w:t>
      </w:r>
      <w:r>
        <w:rPr/>
        <w:t xml:space="preserve"> Für die meisten deutschen Kleinunternehmen ist das 7-Ordner-System mit numerischen Präfixen der beste Kompromiss. KI-Agenten bevorzugen hierarchische, filesystem-ähnliche Strukturen</w:t>
      </w:r>
      <w:r>
        <w:rPr>
          <w:rStyle w:val="FootnoteReference"/>
        </w:rPr>
        <w:footnoteReference w:id="20"/>
      </w:r>
      <w:r>
        <w:rPr/>
        <w:t xml:space="preserve"> mit maximal 3–4 Ebenen Tiefe — genau das, was das 7-Ordner-System liefert.</w:t>
      </w:r>
      <w:bookmarkEnd w:id="5"/>
      <w:bookmarkEnd w:id="13"/>
    </w:p>
    <w:p>
      <w:pPr>
        <w:pStyle w:val="Heading2"/>
        <w:rPr/>
      </w:pPr>
      <w:bookmarkStart w:id="14" w:name="__RefHeading___Toc1664_3375891513"/>
      <w:bookmarkStart w:id="15" w:name="gobd-compliance-aufbewahrungspflichten"/>
      <w:bookmarkEnd w:id="14"/>
      <w:r>
        <w:rPr/>
        <w:t>2. GoBD-Compliance &amp; Aufbewahrungspflichten</w:t>
      </w:r>
    </w:p>
    <w:p>
      <w:pPr>
        <w:pStyle w:val="Heading3"/>
        <w:rPr/>
      </w:pPr>
      <w:bookmarkStart w:id="16" w:name="__RefHeading___Toc1666_3375891513"/>
      <w:bookmarkStart w:id="17" w:name="neue-fristen-seit-beg-iv-2025"/>
      <w:bookmarkEnd w:id="16"/>
      <w:r>
        <w:rPr/>
        <w:t>2.1 Neue Fristen seit BEG IV 2025</w:t>
      </w:r>
    </w:p>
    <w:p>
      <w:pPr>
        <w:pStyle w:val="FirstParagraph"/>
        <w:rPr/>
      </w:pPr>
      <w:r>
        <w:rPr/>
        <w:t>Das Vierte Bürokratieentlastungsgesetz (BEG IV)</w:t>
      </w:r>
      <w:r>
        <w:rPr>
          <w:rStyle w:val="FootnoteReference"/>
        </w:rPr>
        <w:footnoteReference w:id="21"/>
      </w:r>
      <w:r>
        <w:rPr/>
        <w:t>, in Kraft seit 01.01.2025, verkürzt die Aufbewahrungsfrist für Buchungsbelege von 10 auf 8 Jahre</w:t>
      </w:r>
      <w:r>
        <w:rPr>
          <w:rStyle w:val="FootnoteReference"/>
        </w:rPr>
        <w:footnoteReference w:id="22"/>
      </w:r>
      <w:r>
        <w:rPr/>
        <w:t>. Die drei Fristenstufen im Überblick:</w:t>
      </w:r>
    </w:p>
    <w:tbl>
      <w:tblPr>
        <w:tblStyle w:val="Table"/>
        <w:tblW w:w="5000" w:type="pct"/>
        <w:jc w:val="left"/>
        <w:tblInd w:w="0" w:type="dxa"/>
        <w:tblLayout w:type="fixed"/>
        <w:tblCellMar>
          <w:top w:w="0" w:type="dxa"/>
          <w:left w:w="108" w:type="dxa"/>
          <w:bottom w:w="0" w:type="dxa"/>
          <w:right w:w="108" w:type="dxa"/>
        </w:tblCellMar>
        <w:tblLook w:val="0020" w:noVBand="0" w:noHBand="0" w:lastColumn="0" w:firstColumn="0" w:lastRow="0" w:firstRow="1"/>
      </w:tblPr>
      <w:tblGrid>
        <w:gridCol w:w="4679"/>
        <w:gridCol w:w="4681"/>
      </w:tblGrid>
      <w:tr>
        <w:trPr>
          <w:tblHeader w:val="true"/>
        </w:trPr>
        <w:tc>
          <w:tcPr>
            <w:tcW w:w="4679"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Frist</w:t>
            </w:r>
          </w:p>
        </w:tc>
        <w:tc>
          <w:tcPr>
            <w:tcW w:w="4681"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Dokumenttypen</w:t>
            </w:r>
          </w:p>
        </w:tc>
      </w:tr>
      <w:tr>
        <w:trPr/>
        <w:tc>
          <w:tcPr>
            <w:tcW w:w="4679"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10 Jahre</w:t>
            </w:r>
          </w:p>
        </w:tc>
        <w:tc>
          <w:tcPr>
            <w:tcW w:w="468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Handelsbücher, Inventare, Jahresabschlüsse, Eröffnungsbilanzen, Verfahrensdokumentation</w:t>
            </w:r>
          </w:p>
        </w:tc>
      </w:tr>
      <w:tr>
        <w:trPr/>
        <w:tc>
          <w:tcPr>
            <w:tcW w:w="4679"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8 Jahre</w:t>
            </w:r>
          </w:p>
        </w:tc>
        <w:tc>
          <w:tcPr>
            <w:tcW w:w="468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Rechnungen, Kontoauszüge, Quittungen, Lohnlisten, Lieferscheine</w:t>
            </w:r>
          </w:p>
        </w:tc>
      </w:tr>
      <w:tr>
        <w:trPr/>
        <w:tc>
          <w:tcPr>
            <w:tcW w:w="4679"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6 Jahre</w:t>
            </w:r>
          </w:p>
        </w:tc>
        <w:tc>
          <w:tcPr>
            <w:tcW w:w="468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Geschäftskorrespondenz ohne Belegfunktion</w:t>
            </w:r>
          </w:p>
        </w:tc>
      </w:tr>
    </w:tbl>
    <w:p>
      <w:pPr>
        <w:pStyle w:val="BodyText"/>
        <w:rPr/>
      </w:pPr>
      <w:r>
        <w:rPr>
          <w:b/>
          <w:bCs/>
        </w:rPr>
        <w:t>Wichtige Einschränkung:</w:t>
      </w:r>
      <w:r>
        <w:rPr/>
        <w:t xml:space="preserve"> Die 8-Jahres-Frist gilt nur für Rechnungen nach § 14b Abs. 1 UStG</w:t>
      </w:r>
      <w:r>
        <w:rPr>
          <w:rStyle w:val="FootnoteReference"/>
        </w:rPr>
        <w:footnoteReference w:id="23"/>
      </w:r>
      <w:r>
        <w:rPr/>
        <w:t>. Aufzeichnungen nach § 22 Abs. 1 UStG bleiben 10 Jahre aufbewahrungspflichtig. Wer unsicher ist, fährt mit der konservativen 10-Jahres-Frist am sichersten.</w:t>
      </w:r>
      <w:bookmarkEnd w:id="17"/>
    </w:p>
    <w:p>
      <w:pPr>
        <w:pStyle w:val="Heading3"/>
        <w:rPr/>
      </w:pPr>
      <w:bookmarkStart w:id="18" w:name="__RefHeading___Toc1668_3375891513"/>
      <w:bookmarkStart w:id="19" w:name="e-rechnungspflicht-20252028"/>
      <w:bookmarkEnd w:id="18"/>
      <w:r>
        <w:rPr/>
        <w:t>2.2 E-Rechnungspflicht 2025–2028</w:t>
      </w:r>
    </w:p>
    <w:p>
      <w:pPr>
        <w:pStyle w:val="FirstParagraph"/>
        <w:rPr/>
      </w:pPr>
      <w:r>
        <w:rPr/>
        <w:t>Seit 01.01.2025 müssen alle inländischen Unternehmen — einschließlich Kleinunternehmer nach § 19 UStG — E-Rechnungen empfangen können</w:t>
      </w:r>
      <w:r>
        <w:rPr>
          <w:rStyle w:val="FootnoteReference"/>
        </w:rPr>
        <w:footnoteReference w:id="24"/>
      </w:r>
      <w:r>
        <w:rPr>
          <w:rStyle w:val="FootnoteReference"/>
        </w:rPr>
        <w:footnoteReference w:id="25"/>
      </w:r>
      <w:r>
        <w:rPr/>
        <w:t>. Ein E-Mail-Postfach genügt dafür bereits. Die Versandpflicht folgt gestaffelt:</w:t>
      </w:r>
    </w:p>
    <w:tbl>
      <w:tblPr>
        <w:tblStyle w:val="Table"/>
        <w:tblW w:w="5000" w:type="pct"/>
        <w:jc w:val="left"/>
        <w:tblInd w:w="0" w:type="dxa"/>
        <w:tblLayout w:type="fixed"/>
        <w:tblCellMar>
          <w:top w:w="0" w:type="dxa"/>
          <w:left w:w="108" w:type="dxa"/>
          <w:bottom w:w="0" w:type="dxa"/>
          <w:right w:w="108" w:type="dxa"/>
        </w:tblCellMar>
        <w:tblLook w:val="0020" w:noVBand="0" w:noHBand="0" w:lastColumn="0" w:firstColumn="0" w:lastRow="0" w:firstRow="1"/>
      </w:tblPr>
      <w:tblGrid>
        <w:gridCol w:w="3120"/>
        <w:gridCol w:w="3120"/>
        <w:gridCol w:w="3120"/>
      </w:tblGrid>
      <w:tr>
        <w:trPr>
          <w:tblHeader w:val="true"/>
        </w:trPr>
        <w:tc>
          <w:tcPr>
            <w:tcW w:w="3120"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Phase</w:t>
            </w:r>
          </w:p>
        </w:tc>
        <w:tc>
          <w:tcPr>
            <w:tcW w:w="3120"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Zeitraum</w:t>
            </w:r>
          </w:p>
        </w:tc>
        <w:tc>
          <w:tcPr>
            <w:tcW w:w="3120"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Pflicht</w:t>
            </w:r>
          </w:p>
        </w:tc>
      </w:tr>
      <w:tr>
        <w:trPr/>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Phase 1</w:t>
            </w:r>
          </w:p>
        </w:tc>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2025–2026</w:t>
            </w:r>
          </w:p>
        </w:tc>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Nur Empfang; Papier und PDF weiterhin erlaubt für Versand</w:t>
            </w:r>
          </w:p>
        </w:tc>
      </w:tr>
      <w:tr>
        <w:trPr/>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Phase 2</w:t>
            </w:r>
          </w:p>
        </w:tc>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Ab 01.01.2027</w:t>
            </w:r>
          </w:p>
        </w:tc>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E-Rechnungsversand für Unternehmen &gt; 800.000 € Vorjahresumsatz</w:t>
            </w:r>
          </w:p>
        </w:tc>
      </w:tr>
      <w:tr>
        <w:trPr/>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Phase 3</w:t>
            </w:r>
          </w:p>
        </w:tc>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Ab 01.01.2028</w:t>
            </w:r>
          </w:p>
        </w:tc>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E-Rechnungsversand für alle B2B-Unternehmen</w:t>
            </w:r>
          </w:p>
        </w:tc>
      </w:tr>
    </w:tbl>
    <w:p>
      <w:pPr>
        <w:pStyle w:val="BodyText"/>
        <w:rPr/>
      </w:pPr>
      <w:r>
        <w:rPr/>
        <w:t>Entscheidend: Eine per E-Mail versandte PDF gilt seit 2025 nicht mehr als elektronische Rechnung</w:t>
      </w:r>
      <w:r>
        <w:rPr>
          <w:rStyle w:val="FootnoteReference"/>
        </w:rPr>
        <w:footnoteReference w:id="26"/>
      </w:r>
      <w:r>
        <w:rPr/>
        <w:t>. Nur strukturierte Formate — XRechnung (XML) oder ZUGFeRD (PDF/A-3 mit eingebettetem XML) — erfüllen die Anforderungen. ZUGFeRD-Dateien müssen als vollständige PDF/A-3 mit intaktem XML gespeichert werden.</w:t>
      </w:r>
      <w:bookmarkEnd w:id="19"/>
    </w:p>
    <w:p>
      <w:pPr>
        <w:pStyle w:val="Heading3"/>
        <w:rPr/>
      </w:pPr>
      <w:bookmarkStart w:id="20" w:name="__RefHeading___Toc1670_3375891513"/>
      <w:bookmarkStart w:id="21" w:name="verfahrensdokumentation"/>
      <w:bookmarkEnd w:id="20"/>
      <w:r>
        <w:rPr/>
        <w:t>2.3 Verfahrensdokumentation</w:t>
      </w:r>
    </w:p>
    <w:p>
      <w:pPr>
        <w:pStyle w:val="FirstParagraph"/>
        <w:rPr/>
      </w:pPr>
      <w:r>
        <w:rPr/>
        <w:t>Die Verfahrensdokumentation ist für jedes Unternehmen Pflicht</w:t>
      </w:r>
      <w:r>
        <w:rPr>
          <w:rStyle w:val="FootnoteReference"/>
        </w:rPr>
        <w:footnoteReference w:id="27"/>
      </w:r>
      <w:r>
        <w:rPr/>
        <w:t xml:space="preserve"> — unabhängig von Größe oder Gewinnermittlungsart. Sie muss vier Bereiche abdecken: allgemeine Unternehmensbeschreibung, Anwenderdokumentation, technische Systemdokumentation und Betriebsdokumentation. Bei Mängeln drohen Hinzuschätzungen und die Verwerfung der Buchführung.</w:t>
      </w:r>
    </w:p>
    <w:p>
      <w:pPr>
        <w:pStyle w:val="BodyText"/>
        <w:rPr/>
      </w:pPr>
      <w:r>
        <w:rPr/>
        <w:t>Für Kleinunternehmen gibt es fertige Mustervorlagen und günstige Tools wie dokutar (ab 3,90 €/Monat)</w:t>
      </w:r>
      <w:r>
        <w:rPr>
          <w:rStyle w:val="FootnoteReference"/>
        </w:rPr>
        <w:footnoteReference w:id="28"/>
      </w:r>
      <w:r>
        <w:rPr/>
        <w:t>. Mit der E-Rechnungspflicht muss die Verfahrensdokumentation auch den Prozess des E-Rechnungsempfangs abdecken.</w:t>
      </w:r>
    </w:p>
    <w:p>
      <w:pPr>
        <w:pStyle w:val="BlockText"/>
        <w:rPr/>
      </w:pPr>
      <w:r>
        <w:rPr>
          <w:b/>
          <w:bCs/>
        </w:rPr>
        <w:t>[Under-sourced]</w:t>
      </w:r>
      <w:r>
        <w:rPr/>
        <w:t xml:space="preserve"> Ob ein reines Git-Repository mit Markdown-Dateien und signierter Commit-Historie als GoBD-konforme Verfahrensdokumentation akzeptiert wird, ist rechtlich ungeklärt. Einzelne Steuerberater berichten von Akzeptanz durch Finanzämter, aber es gibt keine offizielle Stellungnahme.</w:t>
      </w:r>
      <w:bookmarkEnd w:id="15"/>
      <w:bookmarkEnd w:id="21"/>
    </w:p>
    <w:p>
      <w:pPr>
        <w:pStyle w:val="Heading2"/>
        <w:rPr/>
      </w:pPr>
      <w:bookmarkStart w:id="22" w:name="__RefHeading___Toc1672_3375891513"/>
      <w:bookmarkStart w:id="23" w:name="ki-agenten-freundliche-dateisysteme"/>
      <w:bookmarkEnd w:id="22"/>
      <w:r>
        <w:rPr/>
        <w:t>3. KI-Agenten-freundliche Dateisysteme</w:t>
      </w:r>
    </w:p>
    <w:p>
      <w:pPr>
        <w:pStyle w:val="Heading3"/>
        <w:rPr/>
      </w:pPr>
      <w:bookmarkStart w:id="24" w:name="__RefHeading___Toc1674_3375891513"/>
      <w:bookmarkStart w:id="25" w:name="markdown-als-standardformat"/>
      <w:bookmarkEnd w:id="24"/>
      <w:r>
        <w:rPr/>
        <w:t>3.1 Markdown als Standardformat</w:t>
      </w:r>
    </w:p>
    <w:p>
      <w:pPr>
        <w:pStyle w:val="FirstParagraph"/>
        <w:rPr/>
      </w:pPr>
      <w:r>
        <w:rPr/>
        <w:t>Markdown ist das optimale Format für KI-Agenten-Zugriff</w:t>
      </w:r>
      <w:r>
        <w:rPr>
          <w:rStyle w:val="FootnoteReference"/>
        </w:rPr>
        <w:footnoteReference w:id="29"/>
      </w:r>
      <w:r>
        <w:rPr/>
        <w:t>. Konkrete Zahlen: Ein Blogpost verbraucht 16.180 Tokens in HTML vs. 3.150 Tokens in Markdown</w:t>
      </w:r>
      <w:r>
        <w:rPr>
          <w:rStyle w:val="FootnoteReference"/>
        </w:rPr>
        <w:footnoteReference w:id="30"/>
      </w:r>
      <w:r>
        <w:rPr/>
        <w:t xml:space="preserve"> — 80 % Reduktion. Bei einer komplexen Produktseite sinkt der Verbrauch sogar um 99 %. Cloudflare hat im Februar 2026 „Markdown for Agents” als Infrastruktur-Feature gelauncht.</w:t>
      </w:r>
    </w:p>
    <w:p>
      <w:pPr>
        <w:pStyle w:val="BodyText"/>
        <w:rPr/>
      </w:pPr>
      <w:r>
        <w:rPr>
          <w:b/>
          <w:bCs/>
        </w:rPr>
        <w:t>Praxisempfehlung:</w:t>
      </w:r>
      <w:r>
        <w:rPr/>
        <w:t xml:space="preserve"> Markdown für alle internen, lebendigen Dokumente (Notizen, SOPs, Projektdokumentation). PDF nur für formale Endausgaben (Rechnungen, Verträge, Belege) und extern versandte Dokumente. Als reiner Text hängt Markdown von keinem spezifischen Programm ab</w:t>
      </w:r>
      <w:r>
        <w:rPr>
          <w:rStyle w:val="FootnoteReference"/>
        </w:rPr>
        <w:footnoteReference w:id="31"/>
      </w:r>
      <w:r>
        <w:rPr/>
        <w:t xml:space="preserve"> — kein Vendor-Lock-in, auch in Jahrzehnten lesbar.</w:t>
      </w:r>
      <w:bookmarkEnd w:id="25"/>
    </w:p>
    <w:p>
      <w:pPr>
        <w:pStyle w:val="Heading3"/>
        <w:rPr/>
      </w:pPr>
      <w:bookmarkStart w:id="26" w:name="__RefHeading___Toc1676_3375891513"/>
      <w:bookmarkStart w:id="27" w:name="yaml-frontmatter-als-metadaten"/>
      <w:bookmarkEnd w:id="26"/>
      <w:r>
        <w:rPr/>
        <w:t>3.2 YAML-Frontmatter als Metadaten</w:t>
      </w:r>
    </w:p>
    <w:p>
      <w:pPr>
        <w:pStyle w:val="FirstParagraph"/>
        <w:rPr/>
      </w:pPr>
      <w:r>
        <w:rPr/>
        <w:t xml:space="preserve">YAML-Frontmatter — der Block zwischen </w:t>
      </w:r>
      <w:r>
        <w:rPr>
          <w:rStyle w:val="VerbatimChar"/>
        </w:rPr>
        <w:t>---</w:t>
      </w:r>
      <w:r>
        <w:rPr/>
        <w:t xml:space="preserve"> am Anfang einer Markdown-Datei — verwandelt Dokumente in abfragbare Datenobjekte. LLMs extrahieren strukturierte Key-Value-Paare aus YAML mit 30–40 % höherer Genauigkeit als aus Fließtext</w:t>
      </w:r>
      <w:r>
        <w:rPr>
          <w:rStyle w:val="FootnoteReference"/>
        </w:rPr>
        <w:footnoteReference w:id="32"/>
      </w:r>
      <w:r>
        <w:rPr/>
        <w:t>.</w:t>
      </w:r>
    </w:p>
    <w:p>
      <w:pPr>
        <w:pStyle w:val="SourceCode"/>
        <w:rPr/>
      </w:pPr>
      <w:r>
        <w:rPr>
          <w:rStyle w:val="PreprocessorTok"/>
        </w:rPr>
        <w:t>---</w:t>
      </w:r>
      <w:r>
        <w:rPr/>
        <w:br/>
      </w:r>
      <w:r>
        <w:rPr>
          <w:rStyle w:val="FunctionTok"/>
        </w:rPr>
        <w:t>kunde</w:t>
      </w:r>
      <w:r>
        <w:rPr>
          <w:rStyle w:val="KeywordTok"/>
        </w:rPr>
        <w:t>:</w:t>
      </w:r>
      <w:r>
        <w:rPr>
          <w:rStyle w:val="AttributeTok"/>
        </w:rPr>
        <w:t xml:space="preserve"> Mustermann GmbH</w:t>
      </w:r>
      <w:r>
        <w:rPr/>
        <w:br/>
      </w:r>
      <w:r>
        <w:rPr>
          <w:rStyle w:val="FunctionTok"/>
        </w:rPr>
        <w:t>typ</w:t>
      </w:r>
      <w:r>
        <w:rPr>
          <w:rStyle w:val="KeywordTok"/>
        </w:rPr>
        <w:t>:</w:t>
      </w:r>
      <w:r>
        <w:rPr>
          <w:rStyle w:val="AttributeTok"/>
        </w:rPr>
        <w:t xml:space="preserve"> Angebot</w:t>
      </w:r>
      <w:r>
        <w:rPr/>
        <w:br/>
      </w:r>
      <w:r>
        <w:rPr>
          <w:rStyle w:val="FunctionTok"/>
        </w:rPr>
        <w:t>datum</w:t>
      </w:r>
      <w:r>
        <w:rPr>
          <w:rStyle w:val="KeywordTok"/>
        </w:rPr>
        <w:t>:</w:t>
      </w:r>
      <w:r>
        <w:rPr>
          <w:rStyle w:val="AttributeTok"/>
        </w:rPr>
        <w:t xml:space="preserve"> 2026-04-01</w:t>
      </w:r>
      <w:r>
        <w:rPr/>
        <w:br/>
      </w:r>
      <w:r>
        <w:rPr>
          <w:rStyle w:val="FunctionTok"/>
        </w:rPr>
        <w:t>status</w:t>
      </w:r>
      <w:r>
        <w:rPr>
          <w:rStyle w:val="KeywordTok"/>
        </w:rPr>
        <w:t>:</w:t>
      </w:r>
      <w:r>
        <w:rPr>
          <w:rStyle w:val="AttributeTok"/>
        </w:rPr>
        <w:t xml:space="preserve"> aktiv</w:t>
      </w:r>
      <w:r>
        <w:rPr/>
        <w:br/>
      </w:r>
      <w:r>
        <w:rPr>
          <w:rStyle w:val="FunctionTok"/>
        </w:rPr>
        <w:t>tags</w:t>
      </w:r>
      <w:r>
        <w:rPr>
          <w:rStyle w:val="KeywordTok"/>
        </w:rPr>
        <w:t>:</w:t>
      </w:r>
      <w:r>
        <w:rPr>
          <w:rStyle w:val="AttributeTok"/>
        </w:rPr>
        <w:t xml:space="preserve"> </w:t>
      </w:r>
      <w:r>
        <w:rPr>
          <w:rStyle w:val="KeywordTok"/>
        </w:rPr>
        <w:t>[</w:t>
      </w:r>
      <w:r>
        <w:rPr>
          <w:rStyle w:val="AttributeTok"/>
        </w:rPr>
        <w:t>beratung</w:t>
      </w:r>
      <w:r>
        <w:rPr>
          <w:rStyle w:val="KeywordTok"/>
        </w:rPr>
        <w:t>,</w:t>
      </w:r>
      <w:r>
        <w:rPr>
          <w:rStyle w:val="AttributeTok"/>
        </w:rPr>
        <w:t xml:space="preserve"> phase</w:t>
      </w:r>
      <w:r>
        <w:rPr>
          <w:rStyle w:val="DecValTok"/>
        </w:rPr>
        <w:t>-1</w:t>
      </w:r>
      <w:r>
        <w:rPr>
          <w:rStyle w:val="KeywordTok"/>
        </w:rPr>
        <w:t>]</w:t>
      </w:r>
      <w:r>
        <w:rPr/>
        <w:br/>
      </w:r>
      <w:r>
        <w:rPr>
          <w:rStyle w:val="PreprocessorTok"/>
        </w:rPr>
        <w:t>---</w:t>
      </w:r>
    </w:p>
    <w:p>
      <w:pPr>
        <w:pStyle w:val="FirstParagraph"/>
        <w:rPr/>
      </w:pPr>
      <w:r>
        <w:rPr/>
        <w:t>Claude Code nutzt dieses Muster bereits in SKILL.md-Dateien</w:t>
      </w:r>
      <w:r>
        <w:rPr>
          <w:rStyle w:val="FootnoteReference"/>
        </w:rPr>
        <w:footnoteReference w:id="33"/>
      </w:r>
      <w:r>
        <w:rPr/>
        <w:t>: Beim Start werden nur Name und Beschreibung geladen (~80 Tokens), der volle Inhalt erst bei Aktivierung. Dieses Progressive-Disclosure-Muster lässt sich auf Geschäftsdokumente übertragen.</w:t>
      </w:r>
      <w:bookmarkEnd w:id="27"/>
    </w:p>
    <w:p>
      <w:pPr>
        <w:pStyle w:val="Heading3"/>
        <w:rPr/>
      </w:pPr>
      <w:bookmarkStart w:id="28" w:name="__RefHeading___Toc1678_3375891513"/>
      <w:bookmarkStart w:id="29" w:name="agents.md-und-claude.md"/>
      <w:bookmarkEnd w:id="28"/>
      <w:r>
        <w:rPr/>
        <w:t>3.3 AGENTS.md und CLAUDE.md</w:t>
      </w:r>
    </w:p>
    <w:p>
      <w:pPr>
        <w:pStyle w:val="FirstParagraph"/>
        <w:rPr/>
      </w:pPr>
      <w:r>
        <w:rPr/>
        <w:t>AGENTS.md</w:t>
      </w:r>
      <w:r>
        <w:rPr>
          <w:rStyle w:val="FootnoteReference"/>
        </w:rPr>
        <w:footnoteReference w:id="34"/>
      </w:r>
      <w:r>
        <w:rPr/>
        <w:t xml:space="preserve"> ist der aufkommende Cross-Tool-Standard für KI-Agenten-Konfiguration — verwaltet von der Agentic AI Foundation unter der Linux Foundation</w:t>
      </w:r>
      <w:r>
        <w:rPr>
          <w:rStyle w:val="FootnoteReference"/>
        </w:rPr>
        <w:footnoteReference w:id="35"/>
      </w:r>
      <w:r>
        <w:rPr/>
        <w:t>, genutzt in über 60.000 Projekten, unterstützt von Codex, Cursor, Gemini CLI, GitHub Copilot und weiteren.</w:t>
      </w:r>
    </w:p>
    <w:p>
      <w:pPr>
        <w:pStyle w:val="BodyText"/>
        <w:rPr/>
      </w:pPr>
      <w:r>
        <w:rPr/>
        <w:t>Forschungsergebnisse sind gemischt: Eine ETH-Zürich-Studie</w:t>
      </w:r>
      <w:r>
        <w:rPr>
          <w:rStyle w:val="FootnoteReference"/>
        </w:rPr>
        <w:footnoteReference w:id="36"/>
      </w:r>
      <w:r>
        <w:rPr/>
        <w:t xml:space="preserve"> fand, dass LLM-generierte Context-Dateien die Erfolgsrate sogar senken. Manuell geschriebene Dateien bringen marginale Verbesserung. Eine separate Studie zeigt jedoch 28 % schnellere Ausführung und 16 % weniger Output-Tokens</w:t>
      </w:r>
      <w:r>
        <w:rPr>
          <w:rStyle w:val="FootnoteReference"/>
        </w:rPr>
        <w:footnoteReference w:id="37"/>
      </w:r>
      <w:r>
        <w:rPr/>
        <w:t>. Die Empfehlung: AGENTS.md manuell schreiben, schlank halten (unter 300 Zeilen), nur Informationen aufnehmen, die der Agent nicht selbst inferieren kann.</w:t>
      </w:r>
      <w:bookmarkEnd w:id="29"/>
    </w:p>
    <w:p>
      <w:pPr>
        <w:pStyle w:val="Heading3"/>
        <w:rPr/>
      </w:pPr>
      <w:bookmarkStart w:id="30" w:name="__RefHeading___Toc1680_3375891513"/>
      <w:bookmarkStart w:id="31" w:name="git-als-audit-trail"/>
      <w:bookmarkEnd w:id="30"/>
      <w:r>
        <w:rPr/>
        <w:t>3.4 Git als Audit Trail</w:t>
      </w:r>
    </w:p>
    <w:p>
      <w:pPr>
        <w:pStyle w:val="FirstParagraph"/>
        <w:rPr/>
      </w:pPr>
      <w:r>
        <w:rPr/>
        <w:t>Git bietet kryptographische Hash-Ketten für manipulationssichere Aufzeichnungen</w:t>
      </w:r>
      <w:r>
        <w:rPr>
          <w:rStyle w:val="FootnoteReference"/>
        </w:rPr>
        <w:footnoteReference w:id="38"/>
      </w:r>
      <w:r>
        <w:rPr/>
        <w:t xml:space="preserve"> — dieselbe Basis wie Blockchain, aber mit Dokumentenorientierung. Für GoBD-Compliance muss Git durch signierte Commits, Branch-Protection und regelmäßige Backups ergänzt werden.</w:t>
      </w:r>
    </w:p>
    <w:p>
      <w:pPr>
        <w:pStyle w:val="BodyText"/>
        <w:rPr/>
      </w:pPr>
      <w:r>
        <w:rPr/>
        <w:t>Für Kleinunternehmen mit weniger als ~1.000 Dokumenten kann ein Git-Repository mit Markdown-Dateien eine kostenlose Alternative zu DMS-Systemen</w:t>
      </w:r>
      <w:r>
        <w:rPr>
          <w:rStyle w:val="FootnoteReference"/>
        </w:rPr>
        <w:footnoteReference w:id="39"/>
      </w:r>
      <w:r>
        <w:rPr/>
        <w:t xml:space="preserve"> sein — KI-Agenten navigieren direkt durch die Dateien, ohne RAG-Pipeline.</w:t>
      </w:r>
      <w:bookmarkEnd w:id="23"/>
      <w:bookmarkEnd w:id="31"/>
    </w:p>
    <w:p>
      <w:pPr>
        <w:pStyle w:val="Heading2"/>
        <w:rPr/>
      </w:pPr>
      <w:bookmarkStart w:id="32" w:name="__RefHeading___Toc1682_3375891513"/>
      <w:bookmarkStart w:id="33" w:name="dateinamen-formate-werkzeuge"/>
      <w:bookmarkEnd w:id="32"/>
      <w:r>
        <w:rPr/>
        <w:t>4. Dateinamen, Formate &amp; Werkzeuge</w:t>
      </w:r>
    </w:p>
    <w:p>
      <w:pPr>
        <w:pStyle w:val="Heading3"/>
        <w:rPr/>
      </w:pPr>
      <w:bookmarkStart w:id="34" w:name="__RefHeading___Toc1684_3375891513"/>
      <w:bookmarkStart w:id="35" w:name="benennungskonventionen"/>
      <w:bookmarkEnd w:id="34"/>
      <w:r>
        <w:rPr/>
        <w:t>4.1 Benennungskonventionen</w:t>
      </w:r>
    </w:p>
    <w:p>
      <w:pPr>
        <w:pStyle w:val="FirstParagraph"/>
        <w:rPr/>
      </w:pPr>
      <w:r>
        <w:rPr/>
        <w:t>Das ISO 8601 Datumsformat (YYYY-MM-DD)</w:t>
      </w:r>
      <w:r>
        <w:rPr>
          <w:rStyle w:val="FootnoteReference"/>
        </w:rPr>
        <w:footnoteReference w:id="40"/>
      </w:r>
      <w:r>
        <w:rPr/>
        <w:t xml:space="preserve"> ist der Goldstandard: Alphabetische Sortierung ergibt automatisch chronologische Sortierung. Die Harvard-Richtlinien empfehlen Dateinamen von 40–50 Zeichen mit ausschließlich alphanumerischen Zeichen, Bindestrichen und Unterstrichen.</w:t>
      </w:r>
    </w:p>
    <w:p>
      <w:pPr>
        <w:pStyle w:val="BodyText"/>
        <w:rPr/>
      </w:pPr>
      <w:r>
        <w:rPr/>
        <w:t>Empfohlenes Schema für Geschäftsdokumente:</w:t>
      </w:r>
    </w:p>
    <w:p>
      <w:pPr>
        <w:pStyle w:val="SourceCode"/>
        <w:rPr/>
      </w:pPr>
      <w:r>
        <w:rPr>
          <w:rStyle w:val="VerbatimChar"/>
        </w:rPr>
        <w:t>2026-04-01_Mustermann-GmbH_Angebot_v02.md</w:t>
      </w:r>
      <w:r>
        <w:rPr/>
        <w:br/>
      </w:r>
      <w:r>
        <w:rPr>
          <w:rStyle w:val="VerbatimChar"/>
        </w:rPr>
        <w:t>[Datum]_[Kunde/Projekt]_[Dokumenttyp]_[Version].[Format]</w:t>
      </w:r>
    </w:p>
    <w:p>
      <w:pPr>
        <w:pStyle w:val="FirstParagraph"/>
        <w:rPr/>
      </w:pPr>
      <w:r>
        <w:rPr/>
        <w:t>Unterstriche trennen Komponenten, Bindestriche verbinden Wörter innerhalb einer Komponente. Teamabstimmung ist entscheidend</w:t>
      </w:r>
      <w:r>
        <w:rPr>
          <w:rStyle w:val="FootnoteReference"/>
        </w:rPr>
        <w:footnoteReference w:id="41"/>
      </w:r>
      <w:r>
        <w:rPr/>
        <w:t xml:space="preserve"> — Konventionen, die nur der Gründer kennt, werden von Mitarbeitern und Steuerberatern nicht eingehalten.</w:t>
      </w:r>
      <w:bookmarkEnd w:id="35"/>
    </w:p>
    <w:p>
      <w:pPr>
        <w:pStyle w:val="Heading3"/>
        <w:rPr/>
      </w:pPr>
      <w:bookmarkStart w:id="36" w:name="__RefHeading___Toc1686_3375891513"/>
      <w:bookmarkStart w:id="37" w:name="dms-lösungen-im-vergleich"/>
      <w:bookmarkEnd w:id="36"/>
      <w:r>
        <w:rPr/>
        <w:t>4.2 DMS-Lösungen im Vergleich</w:t>
      </w:r>
    </w:p>
    <w:tbl>
      <w:tblPr>
        <w:tblStyle w:val="Table"/>
        <w:tblW w:w="5000" w:type="pct"/>
        <w:jc w:val="left"/>
        <w:tblInd w:w="0" w:type="dxa"/>
        <w:tblLayout w:type="fixed"/>
        <w:tblCellMar>
          <w:top w:w="0" w:type="dxa"/>
          <w:left w:w="108" w:type="dxa"/>
          <w:bottom w:w="0" w:type="dxa"/>
          <w:right w:w="108" w:type="dxa"/>
        </w:tblCellMar>
        <w:tblLook w:val="0020" w:noVBand="0" w:noHBand="0" w:lastColumn="0" w:firstColumn="0" w:lastRow="0" w:firstRow="1"/>
      </w:tblPr>
      <w:tblGrid>
        <w:gridCol w:w="1560"/>
        <w:gridCol w:w="1559"/>
        <w:gridCol w:w="1560"/>
        <w:gridCol w:w="1561"/>
        <w:gridCol w:w="1559"/>
        <w:gridCol w:w="1561"/>
      </w:tblGrid>
      <w:tr>
        <w:trPr>
          <w:tblHeader w:val="true"/>
        </w:trPr>
        <w:tc>
          <w:tcPr>
            <w:tcW w:w="1560"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Lösung</w:t>
            </w:r>
          </w:p>
        </w:tc>
        <w:tc>
          <w:tcPr>
            <w:tcW w:w="1559"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Typ</w:t>
            </w:r>
          </w:p>
        </w:tc>
        <w:tc>
          <w:tcPr>
            <w:tcW w:w="1560"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Kosten</w:t>
            </w:r>
          </w:p>
        </w:tc>
        <w:tc>
          <w:tcPr>
            <w:tcW w:w="1561"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GoBD</w:t>
            </w:r>
          </w:p>
        </w:tc>
        <w:tc>
          <w:tcPr>
            <w:tcW w:w="1559"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DATEV</w:t>
            </w:r>
          </w:p>
        </w:tc>
        <w:tc>
          <w:tcPr>
            <w:tcW w:w="1561"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Zielgruppe</w:t>
            </w:r>
          </w:p>
        </w:tc>
      </w:tr>
      <w:tr>
        <w:trPr/>
        <w:tc>
          <w:tcPr>
            <w:tcW w:w="1560" w:type="dxa"/>
            <w:tcBorders/>
          </w:tcPr>
          <w:p>
            <w:pPr>
              <w:pStyle w:val="Compact"/>
              <w:widowControl/>
              <w:spacing w:before="36" w:after="36"/>
              <w:jc w:val="left"/>
              <w:rPr>
                <w:rFonts w:ascii="Aptos" w:hAnsi="Aptos" w:eastAsia="" w:cs=""/>
                <w:kern w:val="0"/>
                <w:sz w:val="24"/>
                <w:szCs w:val="24"/>
                <w:lang w:val="en-US" w:eastAsia="zh-CN" w:bidi="ar-SA"/>
              </w:rPr>
            </w:pPr>
            <w:hyperlink r:id="rId2">
              <w:r>
                <w:rPr>
                  <w:rStyle w:val="Hyperlink"/>
                  <w:rFonts w:eastAsia="" w:cs=""/>
                  <w:kern w:val="0"/>
                  <w:sz w:val="24"/>
                  <w:szCs w:val="24"/>
                  <w:lang w:val="en-US" w:eastAsia="zh-CN" w:bidi="ar-SA"/>
                </w:rPr>
                <w:t>Paperless-ngx</w:t>
              </w:r>
            </w:hyperlink>
          </w:p>
        </w:tc>
        <w:tc>
          <w:tcPr>
            <w:tcW w:w="1559"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Open Source, Self-Hosted</w:t>
            </w:r>
          </w:p>
        </w:tc>
        <w:tc>
          <w:tcPr>
            <w:tcW w:w="15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Kostenlos</w:t>
            </w:r>
          </w:p>
        </w:tc>
        <w:tc>
          <w:tcPr>
            <w:tcW w:w="156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Mit Konfiguration</w:t>
            </w:r>
            <w:r>
              <w:rPr>
                <w:rStyle w:val="FootnoteReference"/>
                <w:rFonts w:eastAsia="" w:cs=""/>
                <w:kern w:val="0"/>
                <w:sz w:val="24"/>
                <w:szCs w:val="24"/>
                <w:lang w:val="en-US" w:eastAsia="zh-CN" w:bidi="ar-SA"/>
              </w:rPr>
              <w:footnoteReference w:id="42"/>
            </w:r>
          </w:p>
        </w:tc>
        <w:tc>
          <w:tcPr>
            <w:tcW w:w="1559"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Über Bridge</w:t>
            </w:r>
          </w:p>
        </w:tc>
        <w:tc>
          <w:tcPr>
            <w:tcW w:w="156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Technikaffine</w:t>
            </w:r>
          </w:p>
        </w:tc>
      </w:tr>
      <w:tr>
        <w:trPr/>
        <w:tc>
          <w:tcPr>
            <w:tcW w:w="1560" w:type="dxa"/>
            <w:tcBorders/>
          </w:tcPr>
          <w:p>
            <w:pPr>
              <w:pStyle w:val="Compact"/>
              <w:widowControl/>
              <w:spacing w:before="36" w:after="36"/>
              <w:jc w:val="left"/>
              <w:rPr>
                <w:rFonts w:ascii="Aptos" w:hAnsi="Aptos" w:eastAsia="" w:cs=""/>
                <w:kern w:val="0"/>
                <w:sz w:val="24"/>
                <w:szCs w:val="24"/>
                <w:lang w:val="en-US" w:eastAsia="zh-CN" w:bidi="ar-SA"/>
              </w:rPr>
            </w:pPr>
            <w:hyperlink r:id="rId3">
              <w:r>
                <w:rPr>
                  <w:rStyle w:val="Hyperlink"/>
                  <w:rFonts w:eastAsia="" w:cs=""/>
                  <w:kern w:val="0"/>
                  <w:sz w:val="24"/>
                  <w:szCs w:val="24"/>
                  <w:lang w:val="en-US" w:eastAsia="zh-CN" w:bidi="ar-SA"/>
                </w:rPr>
                <w:t>ecoDMS</w:t>
              </w:r>
            </w:hyperlink>
          </w:p>
        </w:tc>
        <w:tc>
          <w:tcPr>
            <w:tcW w:w="1559"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Kommerziell, Self-Hosted</w:t>
            </w:r>
          </w:p>
        </w:tc>
        <w:tc>
          <w:tcPr>
            <w:tcW w:w="15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74,79 € einmalig</w:t>
            </w:r>
          </w:p>
        </w:tc>
        <w:tc>
          <w:tcPr>
            <w:tcW w:w="156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Ja (nativ)</w:t>
            </w:r>
          </w:p>
        </w:tc>
        <w:tc>
          <w:tcPr>
            <w:tcW w:w="1559"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Nein</w:t>
            </w:r>
          </w:p>
        </w:tc>
        <w:tc>
          <w:tcPr>
            <w:tcW w:w="156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Compliance-orientierte</w:t>
            </w:r>
          </w:p>
        </w:tc>
      </w:tr>
      <w:tr>
        <w:trPr/>
        <w:tc>
          <w:tcPr>
            <w:tcW w:w="1560" w:type="dxa"/>
            <w:tcBorders/>
          </w:tcPr>
          <w:p>
            <w:pPr>
              <w:pStyle w:val="Compact"/>
              <w:widowControl/>
              <w:spacing w:before="36" w:after="36"/>
              <w:jc w:val="left"/>
              <w:rPr>
                <w:rFonts w:ascii="Aptos" w:hAnsi="Aptos" w:eastAsia="" w:cs=""/>
                <w:kern w:val="0"/>
                <w:sz w:val="24"/>
                <w:szCs w:val="24"/>
                <w:lang w:val="en-US" w:eastAsia="zh-CN" w:bidi="ar-SA"/>
              </w:rPr>
            </w:pPr>
            <w:hyperlink r:id="rId4">
              <w:r>
                <w:rPr>
                  <w:rStyle w:val="Hyperlink"/>
                  <w:rFonts w:eastAsia="" w:cs=""/>
                  <w:kern w:val="0"/>
                  <w:sz w:val="24"/>
                  <w:szCs w:val="24"/>
                  <w:lang w:val="en-US" w:eastAsia="zh-CN" w:bidi="ar-SA"/>
                </w:rPr>
                <w:t>sevDesk</w:t>
              </w:r>
            </w:hyperlink>
          </w:p>
        </w:tc>
        <w:tc>
          <w:tcPr>
            <w:tcW w:w="1559"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Cloud-SaaS</w:t>
            </w:r>
          </w:p>
        </w:tc>
        <w:tc>
          <w:tcPr>
            <w:tcW w:w="15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Ab ~15 €/Monat</w:t>
            </w:r>
          </w:p>
        </w:tc>
        <w:tc>
          <w:tcPr>
            <w:tcW w:w="156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Ja</w:t>
            </w:r>
          </w:p>
        </w:tc>
        <w:tc>
          <w:tcPr>
            <w:tcW w:w="1559"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Ja</w:t>
            </w:r>
          </w:p>
        </w:tc>
        <w:tc>
          <w:tcPr>
            <w:tcW w:w="156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Gründer &amp; Freelancer</w:t>
            </w:r>
          </w:p>
        </w:tc>
      </w:tr>
      <w:tr>
        <w:trPr/>
        <w:tc>
          <w:tcPr>
            <w:tcW w:w="1560" w:type="dxa"/>
            <w:tcBorders/>
          </w:tcPr>
          <w:p>
            <w:pPr>
              <w:pStyle w:val="Compact"/>
              <w:widowControl/>
              <w:spacing w:before="36" w:after="36"/>
              <w:jc w:val="left"/>
              <w:rPr>
                <w:rFonts w:ascii="Aptos" w:hAnsi="Aptos" w:eastAsia="" w:cs=""/>
                <w:kern w:val="0"/>
                <w:sz w:val="24"/>
                <w:szCs w:val="24"/>
                <w:lang w:val="en-US" w:eastAsia="zh-CN" w:bidi="ar-SA"/>
              </w:rPr>
            </w:pPr>
            <w:hyperlink r:id="rId5">
              <w:r>
                <w:rPr>
                  <w:rStyle w:val="Hyperlink"/>
                  <w:rFonts w:eastAsia="" w:cs=""/>
                  <w:kern w:val="0"/>
                  <w:sz w:val="24"/>
                  <w:szCs w:val="24"/>
                  <w:lang w:val="en-US" w:eastAsia="zh-CN" w:bidi="ar-SA"/>
                </w:rPr>
                <w:t>DATEV Unternehmen online</w:t>
              </w:r>
            </w:hyperlink>
          </w:p>
        </w:tc>
        <w:tc>
          <w:tcPr>
            <w:tcW w:w="1559"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Cloud (über StB)</w:t>
            </w:r>
          </w:p>
        </w:tc>
        <w:tc>
          <w:tcPr>
            <w:tcW w:w="156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Ab 11 €/Monat</w:t>
            </w:r>
          </w:p>
        </w:tc>
        <w:tc>
          <w:tcPr>
            <w:tcW w:w="156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Ja</w:t>
            </w:r>
          </w:p>
        </w:tc>
        <w:tc>
          <w:tcPr>
            <w:tcW w:w="1559"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Nativ</w:t>
            </w:r>
          </w:p>
        </w:tc>
        <w:tc>
          <w:tcPr>
            <w:tcW w:w="156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StB-abhängige KMU</w:t>
            </w:r>
          </w:p>
        </w:tc>
      </w:tr>
    </w:tbl>
    <w:p>
      <w:pPr>
        <w:pStyle w:val="BodyText"/>
        <w:rPr/>
      </w:pPr>
      <w:r>
        <w:rPr/>
        <w:t>Eine ausführliche Marktübersicht bietet ecmguide.de</w:t>
      </w:r>
      <w:r>
        <w:rPr>
          <w:rStyle w:val="FootnoteReference"/>
        </w:rPr>
        <w:footnoteReference w:id="43"/>
      </w:r>
      <w:r>
        <w:rPr/>
        <w:t>.</w:t>
      </w:r>
    </w:p>
    <w:p>
      <w:pPr>
        <w:pStyle w:val="BodyText"/>
        <w:rPr/>
      </w:pPr>
      <w:r>
        <w:rPr>
          <w:b/>
          <w:bCs/>
        </w:rPr>
        <w:t>Paperless-ngx</w:t>
      </w:r>
      <w:r>
        <w:rPr/>
        <w:t xml:space="preserve"> ist nach Installation nicht automatisch GoBD-konform</w:t>
      </w:r>
      <w:r>
        <w:rPr>
          <w:rStyle w:val="FootnoteReference"/>
        </w:rPr>
        <w:footnoteReference w:id="44"/>
      </w:r>
      <w:r>
        <w:rPr/>
        <w:t>: Löschrechte müssen eingeschränkt, Logrotation deaktiviert und eine Verfahrensdokumentation erstellt werden. Wer Rechtssicherheit ohne Konfigurationsaufwand braucht, greift zu ecoDMS oder sevDesk.</w:t>
      </w:r>
    </w:p>
    <w:p>
      <w:pPr>
        <w:pStyle w:val="BodyText"/>
        <w:rPr/>
      </w:pPr>
      <w:r>
        <w:rPr>
          <w:b/>
          <w:bCs/>
        </w:rPr>
        <w:t>Empfehlung für technikaffine Gründer:</w:t>
      </w:r>
      <w:r>
        <w:rPr/>
        <w:t xml:space="preserve"> Paperless-ngx für OCR und Archivierung, sevDesk für Buchhaltung und E-Rechnungen, verbunden durch die Open-Source-Bridge paperlessngx-to-sevdesk</w:t>
      </w:r>
      <w:r>
        <w:rPr>
          <w:rStyle w:val="FootnoteReference"/>
        </w:rPr>
        <w:footnoteReference w:id="45"/>
      </w:r>
      <w:r>
        <w:rPr/>
        <w:t>.</w:t>
      </w:r>
      <w:bookmarkEnd w:id="37"/>
    </w:p>
    <w:p>
      <w:pPr>
        <w:pStyle w:val="Heading3"/>
        <w:rPr/>
      </w:pPr>
      <w:bookmarkStart w:id="38" w:name="__RefHeading___Toc1688_3375891513"/>
      <w:bookmarkStart w:id="39" w:name="ocr-digitalisierung"/>
      <w:bookmarkEnd w:id="38"/>
      <w:r>
        <w:rPr/>
        <w:t>4.3 OCR &amp; Digitalisierung</w:t>
      </w:r>
    </w:p>
    <w:p>
      <w:pPr>
        <w:pStyle w:val="FirstParagraph"/>
        <w:rPr/>
      </w:pPr>
      <w:r>
        <w:rPr/>
        <w:t>OCRmyPDF</w:t>
      </w:r>
      <w:r>
        <w:rPr>
          <w:rStyle w:val="FootnoteReference"/>
        </w:rPr>
        <w:footnoteReference w:id="46"/>
      </w:r>
      <w:r>
        <w:rPr/>
        <w:t xml:space="preserve"> (aktuell v17.4.0) ist das Standardwerkzeug für lokale Texterkennung. Es erzeugt PDF/A-2b für Langzeitarchivierung, korrigiert schiefe Scans automatisch und läuft vollständig lokal — kein Cloud-Upload sensibler Geschäftsdaten. Es ist zugleich das OCR-Backend von Paperless-ngx.</w:t>
      </w:r>
    </w:p>
    <w:p>
      <w:pPr>
        <w:pStyle w:val="SourceCode"/>
        <w:rPr/>
      </w:pPr>
      <w:r>
        <w:rPr>
          <w:rStyle w:val="CommentTok"/>
        </w:rPr>
        <w:t># Einzelnes Dokument mit OCR versehen und als PDF/A archivieren</w:t>
      </w:r>
      <w:r>
        <w:rPr/>
        <w:br/>
      </w:r>
      <w:r>
        <w:rPr>
          <w:rStyle w:val="ExtensionTok"/>
        </w:rPr>
        <w:t>ocrmypdf</w:t>
      </w:r>
      <w:r>
        <w:rPr>
          <w:rStyle w:val="NormalTok"/>
        </w:rPr>
        <w:t xml:space="preserve"> </w:t>
      </w:r>
      <w:r>
        <w:rPr>
          <w:rStyle w:val="AttributeTok"/>
        </w:rPr>
        <w:t>--language</w:t>
      </w:r>
      <w:r>
        <w:rPr>
          <w:rStyle w:val="NormalTok"/>
        </w:rPr>
        <w:t xml:space="preserve"> deu+eng </w:t>
      </w:r>
      <w:r>
        <w:rPr>
          <w:rStyle w:val="AttributeTok"/>
        </w:rPr>
        <w:t>--output-type</w:t>
      </w:r>
      <w:r>
        <w:rPr>
          <w:rStyle w:val="NormalTok"/>
        </w:rPr>
        <w:t xml:space="preserve"> pdfa-2 scan.pdf archiv.pdf</w:t>
      </w:r>
      <w:bookmarkEnd w:id="33"/>
      <w:bookmarkEnd w:id="39"/>
    </w:p>
    <w:p>
      <w:pPr>
        <w:pStyle w:val="Heading2"/>
        <w:rPr/>
      </w:pPr>
      <w:bookmarkStart w:id="40" w:name="__RefHeading___Toc1690_3375891513"/>
      <w:bookmarkStart w:id="41" w:name="einschränkungen-offene-fragen"/>
      <w:bookmarkEnd w:id="40"/>
      <w:r>
        <w:rPr/>
        <w:t>Einschränkungen &amp; offene Fragen</w:t>
      </w:r>
    </w:p>
    <w:p>
      <w:pPr>
        <w:pStyle w:val="Compact"/>
        <w:numPr>
          <w:ilvl w:val="0"/>
          <w:numId w:val="1"/>
        </w:numPr>
        <w:rPr/>
      </w:pPr>
      <w:r>
        <w:rPr>
          <w:b/>
          <w:bCs/>
        </w:rPr>
        <w:t>Keine Vergleichsstudien.</w:t>
      </w:r>
      <w:r>
        <w:rPr/>
        <w:t xml:space="preserve"> Es existieren keine unabhängigen empirischen Vergleiche der drei Ordnungssysteme. Alle Bewertungen stammen von Einzelnutzern oder Softwareanbietern.</w:t>
      </w:r>
    </w:p>
    <w:p>
      <w:pPr>
        <w:pStyle w:val="Compact"/>
        <w:numPr>
          <w:ilvl w:val="0"/>
          <w:numId w:val="1"/>
        </w:numPr>
        <w:rPr/>
      </w:pPr>
      <w:r>
        <w:rPr>
          <w:b/>
          <w:bCs/>
        </w:rPr>
        <w:t>KI-Kompatibilität ist theoretisch.</w:t>
      </w:r>
      <w:r>
        <w:rPr/>
        <w:t xml:space="preserve"> Empirische Benchmarks, die 7-Ordner-System, Johnny.Decimal und PARA spezifisch auf KI-Agenten-Tauglichkeit testen, fehlen. Die Einschätzungen in diesem Report sind aus allgemeinen KI-Dateisystem-Forschungen abgeleitet.</w:t>
      </w:r>
    </w:p>
    <w:p>
      <w:pPr>
        <w:pStyle w:val="Compact"/>
        <w:numPr>
          <w:ilvl w:val="0"/>
          <w:numId w:val="1"/>
        </w:numPr>
        <w:rPr/>
      </w:pPr>
      <w:r>
        <w:rPr>
          <w:b/>
          <w:bCs/>
        </w:rPr>
        <w:t>GoBD + Git ist rechtlich ungeklärt.</w:t>
      </w:r>
      <w:r>
        <w:rPr/>
        <w:t xml:space="preserve"> Ob Git-Repositories die Anforderungen an revisionssichere Archivierung erfüllen, wurde von keinem Finanzamt offiziell bestätigt.</w:t>
      </w:r>
    </w:p>
    <w:p>
      <w:pPr>
        <w:pStyle w:val="Compact"/>
        <w:numPr>
          <w:ilvl w:val="0"/>
          <w:numId w:val="1"/>
        </w:numPr>
        <w:rPr/>
      </w:pPr>
      <w:r>
        <w:rPr>
          <w:b/>
          <w:bCs/>
        </w:rPr>
        <w:t>Shadow-Text-Layer (.machine-readable/) hat keine etablierte Praxis.</w:t>
      </w:r>
      <w:r>
        <w:rPr/>
        <w:t xml:space="preserve"> Das Konzept existiert in der Fotografie (XMP-Sidecars) und Medizin (BIDS JSON), aber nicht als Muster für Geschäftsdokumente. YAML-Frontmatter direkt in Markdown-Dateien ist das nächste Äquivalent.</w:t>
      </w:r>
    </w:p>
    <w:p>
      <w:pPr>
        <w:pStyle w:val="Compact"/>
        <w:numPr>
          <w:ilvl w:val="0"/>
          <w:numId w:val="1"/>
        </w:numPr>
        <w:rPr/>
      </w:pPr>
      <w:r>
        <w:rPr>
          <w:b/>
          <w:bCs/>
        </w:rPr>
        <w:t>Deutsche Erfahrungsberichte zu Johnny.Decimal und PARA im B2B-Kontext sind praktisch nicht vorhanden.</w:t>
      </w:r>
    </w:p>
    <w:p>
      <w:pPr>
        <w:pStyle w:val="FirstParagraph"/>
        <w:spacing w:before="180" w:after="180"/>
        <w:rPr/>
      </w:pPr>
      <w:r>
        <w:rPr>
          <w:i/>
          <w:iCs/>
        </w:rPr>
        <w:t xml:space="preserve">Erstellt mit </w:t>
      </w:r>
      <w:hyperlink r:id="rId6">
        <w:r>
          <w:rPr>
            <w:rStyle w:val="Hyperlink"/>
            <w:i/>
            <w:iCs/>
          </w:rPr>
          <w:t>Deep Researcher</w:t>
        </w:r>
      </w:hyperlink>
      <w:r>
        <w:rPr>
          <w:i/>
          <w:iCs/>
        </w:rPr>
        <w:t xml:space="preserve"> von Leon Beckert</w:t>
      </w:r>
      <w:bookmarkEnd w:id="1"/>
      <w:bookmarkEnd w:id="41"/>
    </w:p>
    <w:sectPr>
      <w:footerReference w:type="even" r:id="rId7"/>
      <w:footerReference w:type="default" r:id="rId8"/>
      <w:footerReference w:type="first" r:id="rId9"/>
      <w:footnotePr>
        <w:numFmt w:val="decimal"/>
        <w:numRestart w:val="eachSect"/>
      </w:footnotePr>
      <w:type w:val="nextPage"/>
      <w:pgSz w:w="12240" w:h="15840"/>
      <w:pgMar w:left="1440" w:right="1440" w:gutter="0" w:header="0" w:top="1440" w:footer="72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ptos">
    <w:charset w:val="01"/>
    <w:family w:val="roman"/>
    <w:pitch w:val="variable"/>
  </w:font>
  <w:font w:name="Aptos Display">
    <w:charset w:val="01"/>
    <w:family w:val="roman"/>
    <w:pitch w:val="variable"/>
  </w:font>
  <w:font w:name="Consolas">
    <w:charset w:val="01"/>
    <w:family w:val="roman"/>
    <w:pitch w:val="variable"/>
  </w:font>
  <w:font w:name="Liberation Sans">
    <w:altName w:val="Arial"/>
    <w:charset w:val="01"/>
    <w:family w:val="swiss"/>
    <w:pitch w:val="variable"/>
  </w:font>
  <w:font w:name="Symbol">
    <w:charset w:val="01"/>
    <w:family w:val="auto"/>
    <w:pitch w:val="variable"/>
  </w:font>
  <w:font w:name="Courier New">
    <w:charset w:val="01"/>
    <w:family w:val="modern"/>
    <w:pitch w:val="fixed"/>
  </w:font>
  <w:font w:name="Wingding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top w:val="single" w:sz="4" w:space="4" w:color="999999"/>
      </w:pBdr>
      <w:tabs>
        <w:tab w:val="clear" w:pos="720"/>
        <w:tab w:val="right" w:pos="9360" w:leader="none"/>
      </w:tabs>
      <w:spacing w:before="0" w:after="200"/>
      <w:rPr/>
    </w:pPr>
    <w:r>
      <w:rPr>
        <w:color w:val="999999"/>
        <w:sz w:val="16"/>
      </w:rPr>
      <w:t>Deep Researcher · deep-research.leon.fm</w:t>
    </w:r>
    <w:r>
      <w:rPr/>
      <w:tab/>
    </w:r>
    <w:r>
      <w:rPr>
        <w:i/>
        <w:iCs/>
      </w:rPr>
      <w:fldChar w:fldCharType="begin"/>
    </w:r>
    <w:r>
      <w:rPr>
        <w:i/>
        <w:iCs/>
      </w:rPr>
      <w:instrText xml:space="preserve"> PAGE </w:instrText>
    </w:r>
    <w:r>
      <w:rPr>
        <w:i/>
        <w:iCs/>
      </w:rPr>
      <w:fldChar w:fldCharType="separate"/>
    </w:r>
    <w:r>
      <w:rPr>
        <w:i/>
        <w:iCs/>
      </w:rPr>
      <w:t>9</w:t>
    </w:r>
    <w:r>
      <w:rPr>
        <w:i/>
        <w:iCs/>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top w:val="single" w:sz="4" w:space="4" w:color="999999"/>
      </w:pBdr>
      <w:tabs>
        <w:tab w:val="clear" w:pos="720"/>
        <w:tab w:val="right" w:pos="9360" w:leader="none"/>
      </w:tabs>
      <w:spacing w:before="0" w:after="200"/>
      <w:rPr/>
    </w:pPr>
    <w:r>
      <w:rPr>
        <w:color w:val="999999"/>
        <w:sz w:val="16"/>
      </w:rPr>
      <w:t>Deep Researcher · deep-research.leon.fm</w:t>
    </w:r>
    <w:r>
      <w:rPr/>
      <w:tab/>
    </w:r>
    <w:r>
      <w:rPr>
        <w:i/>
        <w:iCs/>
      </w:rPr>
      <w:fldChar w:fldCharType="begin"/>
    </w:r>
    <w:r>
      <w:rPr>
        <w:i/>
        <w:iCs/>
      </w:rPr>
      <w:instrText xml:space="preserve"> PAGE </w:instrText>
    </w:r>
    <w:r>
      <w:rPr>
        <w:i/>
        <w:iCs/>
      </w:rPr>
      <w:fldChar w:fldCharType="separate"/>
    </w:r>
    <w:r>
      <w:rPr>
        <w:i/>
        <w:iCs/>
      </w:rPr>
      <w:t>9</w:t>
    </w:r>
    <w:r>
      <w:rPr>
        <w:i/>
        <w:iCs/>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200"/>
        <w:rPr/>
      </w:pPr>
      <w:r>
        <w:rPr>
          <w:rStyle w:val="FootnoteCharacters"/>
        </w:rPr>
        <w:footnoteRef/>
      </w:r>
      <w:r>
        <w:rPr/>
        <w:t xml:space="preserve"> </w:t>
      </w:r>
      <w:hyperlink r:id="rId1">
        <w:r>
          <w:rPr>
            <w:rStyle w:val="Hyperlink"/>
          </w:rPr>
          <w:t>Büro-Kaizen — Ordnerstruktur</w:t>
        </w:r>
      </w:hyperlink>
      <w:r>
        <w:rPr/>
        <w:t xml:space="preserve"> — Blogbeitrag, 2025</w:t>
      </w:r>
    </w:p>
  </w:footnote>
  <w:footnote w:id="3">
    <w:p>
      <w:pPr>
        <w:pStyle w:val="FootnoteText"/>
        <w:spacing w:before="0" w:after="200"/>
        <w:rPr/>
      </w:pPr>
      <w:r>
        <w:rPr>
          <w:rStyle w:val="FootnoteCharacters"/>
        </w:rPr>
        <w:footnoteRef/>
      </w:r>
      <w:r>
        <w:rPr/>
        <w:t xml:space="preserve"> </w:t>
      </w:r>
      <w:hyperlink r:id="rId2">
        <w:r>
          <w:rPr>
            <w:rStyle w:val="Hyperlink"/>
          </w:rPr>
          <w:t>Haufe — Aufbewahrungsfristen</w:t>
        </w:r>
      </w:hyperlink>
      <w:r>
        <w:rPr/>
        <w:t xml:space="preserve"> — Nachrichtenartikel, 2025</w:t>
      </w:r>
    </w:p>
  </w:footnote>
  <w:footnote w:id="4">
    <w:p>
      <w:pPr>
        <w:pStyle w:val="FootnoteText"/>
        <w:spacing w:before="0" w:after="200"/>
        <w:rPr/>
      </w:pPr>
      <w:r>
        <w:rPr>
          <w:rStyle w:val="FootnoteCharacters"/>
        </w:rPr>
        <w:footnoteRef/>
      </w:r>
      <w:r>
        <w:rPr/>
        <w:t xml:space="preserve"> </w:t>
      </w:r>
      <w:hyperlink r:id="rId3">
        <w:r>
          <w:rPr>
            <w:rStyle w:val="Hyperlink"/>
          </w:rPr>
          <w:t>BMF — FAQ E-Rechnung</w:t>
        </w:r>
      </w:hyperlink>
      <w:r>
        <w:rPr/>
        <w:t xml:space="preserve"> — Behördenbericht, 2025</w:t>
      </w:r>
    </w:p>
  </w:footnote>
  <w:footnote w:id="5">
    <w:p>
      <w:pPr>
        <w:pStyle w:val="FootnoteText"/>
        <w:spacing w:before="0" w:after="200"/>
        <w:rPr/>
      </w:pPr>
      <w:r>
        <w:rPr>
          <w:rStyle w:val="FootnoteCharacters"/>
        </w:rPr>
        <w:footnoteRef/>
      </w:r>
      <w:r>
        <w:rPr/>
        <w:t xml:space="preserve"> </w:t>
      </w:r>
      <w:hyperlink r:id="rId4">
        <w:r>
          <w:rPr>
            <w:rStyle w:val="Hyperlink"/>
          </w:rPr>
          <w:t>Cloudflare — Markdown for Agents</w:t>
        </w:r>
      </w:hyperlink>
      <w:r>
        <w:rPr/>
        <w:t xml:space="preserve"> — Blogbeitrag, 2026</w:t>
      </w:r>
    </w:p>
  </w:footnote>
  <w:footnote w:id="6">
    <w:p>
      <w:pPr>
        <w:pStyle w:val="FootnoteText"/>
        <w:spacing w:before="0" w:after="200"/>
        <w:rPr/>
      </w:pPr>
      <w:r>
        <w:rPr>
          <w:rStyle w:val="FootnoteCharacters"/>
        </w:rPr>
        <w:footnoteRef/>
      </w:r>
      <w:r>
        <w:rPr/>
        <w:t xml:space="preserve"> </w:t>
      </w:r>
      <w:hyperlink r:id="rId5">
        <w:r>
          <w:rPr>
            <w:rStyle w:val="Hyperlink"/>
          </w:rPr>
          <w:t>Steakhouse Blog — Front-Matter Standard</w:t>
        </w:r>
      </w:hyperlink>
      <w:r>
        <w:rPr/>
        <w:t xml:space="preserve"> — Blogbeitrag, 2025</w:t>
      </w:r>
    </w:p>
  </w:footnote>
  <w:footnote w:id="7">
    <w:p>
      <w:pPr>
        <w:pStyle w:val="FootnoteText"/>
        <w:spacing w:before="0" w:after="200"/>
        <w:rPr/>
      </w:pPr>
      <w:r>
        <w:rPr>
          <w:rStyle w:val="FootnoteCharacters"/>
        </w:rPr>
        <w:footnoteRef/>
      </w:r>
      <w:r>
        <w:rPr/>
        <w:t xml:space="preserve"> </w:t>
      </w:r>
      <w:hyperlink r:id="rId6">
        <w:r>
          <w:rPr>
            <w:rStyle w:val="Hyperlink"/>
          </w:rPr>
          <w:t>Linux Foundation — Agentic AI Foundation</w:t>
        </w:r>
      </w:hyperlink>
      <w:r>
        <w:rPr/>
        <w:t xml:space="preserve"> — Pressemitteilung, 2025</w:t>
      </w:r>
    </w:p>
  </w:footnote>
  <w:footnote w:id="8">
    <w:p>
      <w:pPr>
        <w:pStyle w:val="FootnoteText"/>
        <w:spacing w:before="0" w:after="200"/>
        <w:rPr/>
      </w:pPr>
      <w:r>
        <w:rPr>
          <w:rStyle w:val="FootnoteCharacters"/>
        </w:rPr>
        <w:footnoteRef/>
      </w:r>
      <w:r>
        <w:rPr/>
        <w:t xml:space="preserve"> </w:t>
      </w:r>
      <w:hyperlink r:id="rId7">
        <w:r>
          <w:rPr>
            <w:rStyle w:val="Hyperlink"/>
          </w:rPr>
          <w:t>DATEV — Schnittstellen</w:t>
        </w:r>
      </w:hyperlink>
      <w:r>
        <w:rPr/>
        <w:t xml:space="preserve"> — Offizielle Dokumentation, 2025</w:t>
      </w:r>
    </w:p>
  </w:footnote>
  <w:footnote w:id="9">
    <w:p>
      <w:pPr>
        <w:pStyle w:val="FootnoteText"/>
        <w:spacing w:before="0" w:after="200"/>
        <w:rPr/>
      </w:pPr>
      <w:r>
        <w:rPr>
          <w:rStyle w:val="FootnoteCharacters"/>
        </w:rPr>
        <w:footnoteRef/>
      </w:r>
      <w:r>
        <w:rPr/>
        <w:t xml:space="preserve"> </w:t>
      </w:r>
      <w:hyperlink r:id="rId8">
        <w:r>
          <w:rPr>
            <w:rStyle w:val="Hyperlink"/>
          </w:rPr>
          <w:t>GitHub — paperlessngx-to-sevdesk</w:t>
        </w:r>
      </w:hyperlink>
      <w:r>
        <w:rPr/>
        <w:t xml:space="preserve"> — Technischer Bericht</w:t>
      </w:r>
    </w:p>
  </w:footnote>
  <w:footnote w:id="10">
    <w:p>
      <w:pPr>
        <w:pStyle w:val="FootnoteText"/>
        <w:spacing w:before="0" w:after="200"/>
        <w:rPr/>
      </w:pPr>
      <w:r>
        <w:rPr>
          <w:rStyle w:val="FootnoteCharacters"/>
        </w:rPr>
        <w:footnoteRef/>
      </w:r>
      <w:r>
        <w:rPr/>
        <w:t xml:space="preserve"> </w:t>
      </w:r>
      <w:hyperlink r:id="rId9">
        <w:r>
          <w:rPr>
            <w:rStyle w:val="Hyperlink"/>
          </w:rPr>
          <w:t>Sekretaria — 7-Ordner-System</w:t>
        </w:r>
      </w:hyperlink>
      <w:r>
        <w:rPr/>
        <w:t xml:space="preserve"> — Blogbeitrag</w:t>
      </w:r>
    </w:p>
  </w:footnote>
  <w:footnote w:id="11">
    <w:p>
      <w:pPr>
        <w:pStyle w:val="FootnoteText"/>
        <w:spacing w:before="0" w:after="200"/>
        <w:rPr/>
      </w:pPr>
      <w:r>
        <w:rPr>
          <w:rStyle w:val="FootnoteCharacters"/>
        </w:rPr>
        <w:footnoteRef/>
      </w:r>
      <w:r>
        <w:rPr/>
        <w:t xml:space="preserve"> </w:t>
      </w:r>
      <w:hyperlink r:id="rId10">
        <w:r>
          <w:rPr>
            <w:rStyle w:val="Hyperlink"/>
          </w:rPr>
          <w:t>pixx.io — Digitale Ordnerstruktur</w:t>
        </w:r>
      </w:hyperlink>
      <w:r>
        <w:rPr/>
        <w:t xml:space="preserve"> — Blogbeitrag</w:t>
      </w:r>
    </w:p>
  </w:footnote>
  <w:footnote w:id="12">
    <w:p>
      <w:pPr>
        <w:pStyle w:val="FootnoteText"/>
        <w:spacing w:before="0" w:after="200"/>
        <w:rPr/>
      </w:pPr>
      <w:r>
        <w:rPr>
          <w:rStyle w:val="FootnoteCharacters"/>
        </w:rPr>
        <w:footnoteRef/>
      </w:r>
      <w:r>
        <w:rPr/>
        <w:t xml:space="preserve"> </w:t>
      </w:r>
      <w:hyperlink r:id="rId11">
        <w:r>
          <w:rPr>
            <w:rStyle w:val="Hyperlink"/>
          </w:rPr>
          <w:t>orgaMAX — Die perfekte Ordnerstruktur</w:t>
        </w:r>
      </w:hyperlink>
      <w:r>
        <w:rPr/>
        <w:t xml:space="preserve"> — Blogbeitrag</w:t>
      </w:r>
    </w:p>
  </w:footnote>
  <w:footnote w:id="13">
    <w:p>
      <w:pPr>
        <w:pStyle w:val="FootnoteText"/>
        <w:spacing w:before="0" w:after="200"/>
        <w:rPr/>
      </w:pPr>
      <w:r>
        <w:rPr>
          <w:rStyle w:val="FootnoteCharacters"/>
        </w:rPr>
        <w:footnoteRef/>
      </w:r>
      <w:r>
        <w:rPr/>
        <w:t xml:space="preserve"> </w:t>
      </w:r>
      <w:hyperlink r:id="rId12">
        <w:r>
          <w:rPr>
            <w:rStyle w:val="Hyperlink"/>
          </w:rPr>
          <w:t>Johnny.Decimal — Small Business System</w:t>
        </w:r>
      </w:hyperlink>
      <w:r>
        <w:rPr/>
        <w:t xml:space="preserve"> — Offizielle Dokumentation, 2026</w:t>
      </w:r>
    </w:p>
  </w:footnote>
  <w:footnote w:id="14">
    <w:p>
      <w:pPr>
        <w:pStyle w:val="FootnoteText"/>
        <w:spacing w:before="0" w:after="200"/>
        <w:rPr/>
      </w:pPr>
      <w:r>
        <w:rPr>
          <w:rStyle w:val="FootnoteCharacters"/>
        </w:rPr>
        <w:footnoteRef/>
      </w:r>
      <w:r>
        <w:rPr/>
        <w:t xml:space="preserve"> </w:t>
      </w:r>
      <w:hyperlink r:id="rId13">
        <w:r>
          <w:rPr>
            <w:rStyle w:val="Hyperlink"/>
          </w:rPr>
          <w:t>Johnny.Decimal — Small Business System</w:t>
        </w:r>
      </w:hyperlink>
      <w:r>
        <w:rPr/>
        <w:t xml:space="preserve"> — Offizielle Dokumentation, 2026</w:t>
      </w:r>
    </w:p>
  </w:footnote>
  <w:footnote w:id="15">
    <w:p>
      <w:pPr>
        <w:pStyle w:val="FootnoteText"/>
        <w:spacing w:before="0" w:after="200"/>
        <w:rPr/>
      </w:pPr>
      <w:r>
        <w:rPr>
          <w:rStyle w:val="FootnoteCharacters"/>
        </w:rPr>
        <w:footnoteRef/>
      </w:r>
      <w:r>
        <w:rPr/>
        <w:t xml:space="preserve"> </w:t>
      </w:r>
      <w:hyperlink r:id="rId14">
        <w:r>
          <w:rPr>
            <w:rStyle w:val="Hyperlink"/>
          </w:rPr>
          <w:t>Constantin Lügering — Johnny Decimal Review</w:t>
        </w:r>
      </w:hyperlink>
      <w:r>
        <w:rPr/>
        <w:t xml:space="preserve"> — Blogbeitrag</w:t>
      </w:r>
    </w:p>
  </w:footnote>
  <w:footnote w:id="16">
    <w:p>
      <w:pPr>
        <w:pStyle w:val="FootnoteText"/>
        <w:spacing w:before="0" w:after="200"/>
        <w:rPr/>
      </w:pPr>
      <w:r>
        <w:rPr>
          <w:rStyle w:val="FootnoteCharacters"/>
        </w:rPr>
        <w:footnoteRef/>
      </w:r>
      <w:r>
        <w:rPr/>
        <w:t xml:space="preserve"> </w:t>
      </w:r>
      <w:hyperlink r:id="rId15">
        <w:r>
          <w:rPr>
            <w:rStyle w:val="Hyperlink"/>
          </w:rPr>
          <w:t>ClickUp — PARA Method</w:t>
        </w:r>
      </w:hyperlink>
      <w:r>
        <w:rPr/>
        <w:t xml:space="preserve"> — Blogbeitrag</w:t>
      </w:r>
    </w:p>
  </w:footnote>
  <w:footnote w:id="17">
    <w:p>
      <w:pPr>
        <w:pStyle w:val="FootnoteText"/>
        <w:spacing w:before="0" w:after="200"/>
        <w:rPr/>
      </w:pPr>
      <w:r>
        <w:rPr>
          <w:rStyle w:val="FootnoteCharacters"/>
        </w:rPr>
        <w:footnoteRef/>
      </w:r>
      <w:r>
        <w:rPr/>
        <w:t xml:space="preserve"> </w:t>
      </w:r>
      <w:hyperlink r:id="rId16">
        <w:r>
          <w:rPr>
            <w:rStyle w:val="Hyperlink"/>
          </w:rPr>
          <w:t>Luca F. — Luca Decimal</w:t>
        </w:r>
      </w:hyperlink>
      <w:r>
        <w:rPr/>
        <w:t xml:space="preserve"> — Blogbeitrag</w:t>
      </w:r>
    </w:p>
  </w:footnote>
  <w:footnote w:id="18">
    <w:p>
      <w:pPr>
        <w:pStyle w:val="FootnoteText"/>
        <w:spacing w:before="0" w:after="200"/>
        <w:rPr/>
      </w:pPr>
      <w:r>
        <w:rPr>
          <w:rStyle w:val="FootnoteCharacters"/>
        </w:rPr>
        <w:footnoteRef/>
      </w:r>
      <w:r>
        <w:rPr/>
        <w:t xml:space="preserve"> </w:t>
      </w:r>
      <w:hyperlink r:id="rId17">
        <w:r>
          <w:rPr>
            <w:rStyle w:val="Hyperlink"/>
          </w:rPr>
          <w:t>Matt Giaro — PARA Method Alternatives</w:t>
        </w:r>
      </w:hyperlink>
      <w:r>
        <w:rPr/>
        <w:t xml:space="preserve"> — Blogbeitrag</w:t>
      </w:r>
    </w:p>
  </w:footnote>
  <w:footnote w:id="19">
    <w:p>
      <w:pPr>
        <w:pStyle w:val="FootnoteText"/>
        <w:spacing w:before="0" w:after="200"/>
        <w:rPr/>
      </w:pPr>
      <w:r>
        <w:rPr>
          <w:rStyle w:val="FootnoteCharacters"/>
        </w:rPr>
        <w:footnoteRef/>
      </w:r>
      <w:r>
        <w:rPr/>
        <w:t xml:space="preserve"> </w:t>
      </w:r>
      <w:hyperlink r:id="rId18">
        <w:r>
          <w:rPr>
            <w:rStyle w:val="Hyperlink"/>
          </w:rPr>
          <w:t>TMT Beratung — PARA und Getting Things Done</w:t>
        </w:r>
      </w:hyperlink>
      <w:r>
        <w:rPr/>
        <w:t xml:space="preserve"> — Blogbeitrag</w:t>
      </w:r>
    </w:p>
  </w:footnote>
  <w:footnote w:id="20">
    <w:p>
      <w:pPr>
        <w:pStyle w:val="FootnoteText"/>
        <w:spacing w:before="0" w:after="200"/>
        <w:rPr/>
      </w:pPr>
      <w:r>
        <w:rPr>
          <w:rStyle w:val="FootnoteCharacters"/>
        </w:rPr>
        <w:footnoteRef/>
      </w:r>
      <w:r>
        <w:rPr/>
        <w:t xml:space="preserve"> </w:t>
      </w:r>
      <w:hyperlink r:id="rId19">
        <w:r>
          <w:rPr>
            <w:rStyle w:val="Hyperlink"/>
          </w:rPr>
          <w:t>Dust — Teaching AI Agents to Navigate Data</w:t>
        </w:r>
      </w:hyperlink>
      <w:r>
        <w:rPr/>
        <w:t xml:space="preserve"> — Blogbeitrag, 2025</w:t>
      </w:r>
    </w:p>
  </w:footnote>
  <w:footnote w:id="21">
    <w:p>
      <w:pPr>
        <w:pStyle w:val="FootnoteText"/>
        <w:spacing w:before="0" w:after="200"/>
        <w:rPr/>
      </w:pPr>
      <w:r>
        <w:rPr>
          <w:rStyle w:val="FootnoteCharacters"/>
        </w:rPr>
        <w:footnoteRef/>
      </w:r>
      <w:r>
        <w:rPr/>
        <w:t xml:space="preserve"> </w:t>
      </w:r>
      <w:hyperlink r:id="rId20">
        <w:r>
          <w:rPr>
            <w:rStyle w:val="Hyperlink"/>
          </w:rPr>
          <w:t>Haufe — Aufbewahrungsfristen</w:t>
        </w:r>
      </w:hyperlink>
      <w:r>
        <w:rPr/>
        <w:t xml:space="preserve"> — Nachrichtenartikel, 2025</w:t>
      </w:r>
    </w:p>
  </w:footnote>
  <w:footnote w:id="22">
    <w:p>
      <w:pPr>
        <w:pStyle w:val="FootnoteText"/>
        <w:spacing w:before="0" w:after="200"/>
        <w:rPr/>
      </w:pPr>
      <w:r>
        <w:rPr>
          <w:rStyle w:val="FootnoteCharacters"/>
        </w:rPr>
        <w:footnoteRef/>
      </w:r>
      <w:r>
        <w:rPr/>
        <w:t xml:space="preserve"> </w:t>
      </w:r>
      <w:hyperlink r:id="rId21">
        <w:r>
          <w:rPr>
            <w:rStyle w:val="Hyperlink"/>
          </w:rPr>
          <w:t>Ecovis — Archivierungspflicht 2025</w:t>
        </w:r>
      </w:hyperlink>
      <w:r>
        <w:rPr/>
        <w:t xml:space="preserve"> — Blogbeitrag, 2025</w:t>
      </w:r>
    </w:p>
  </w:footnote>
  <w:footnote w:id="23">
    <w:p>
      <w:pPr>
        <w:pStyle w:val="FootnoteText"/>
        <w:spacing w:before="0" w:after="200"/>
        <w:rPr/>
      </w:pPr>
      <w:r>
        <w:rPr>
          <w:rStyle w:val="FootnoteCharacters"/>
        </w:rPr>
        <w:footnoteRef/>
      </w:r>
      <w:r>
        <w:rPr/>
        <w:t xml:space="preserve"> </w:t>
      </w:r>
      <w:hyperlink r:id="rId22">
        <w:r>
          <w:rPr>
            <w:rStyle w:val="Hyperlink"/>
          </w:rPr>
          <w:t>farbe.de — Aufbewahrungsfristen 8 oder 10 Jahre</w:t>
        </w:r>
      </w:hyperlink>
      <w:r>
        <w:rPr/>
        <w:t xml:space="preserve"> — Nachrichtenartikel</w:t>
      </w:r>
    </w:p>
  </w:footnote>
  <w:footnote w:id="24">
    <w:p>
      <w:pPr>
        <w:pStyle w:val="FootnoteText"/>
        <w:spacing w:before="0" w:after="200"/>
        <w:rPr/>
      </w:pPr>
      <w:r>
        <w:rPr>
          <w:rStyle w:val="FootnoteCharacters"/>
        </w:rPr>
        <w:footnoteRef/>
      </w:r>
      <w:r>
        <w:rPr/>
        <w:t xml:space="preserve"> </w:t>
      </w:r>
      <w:hyperlink r:id="rId23">
        <w:r>
          <w:rPr>
            <w:rStyle w:val="Hyperlink"/>
          </w:rPr>
          <w:t>BMF — FAQ E-Rechnung</w:t>
        </w:r>
      </w:hyperlink>
      <w:r>
        <w:rPr/>
        <w:t xml:space="preserve"> — Behördenbericht, 2025</w:t>
      </w:r>
    </w:p>
  </w:footnote>
  <w:footnote w:id="25">
    <w:p>
      <w:pPr>
        <w:pStyle w:val="FootnoteText"/>
        <w:spacing w:before="0" w:after="200"/>
        <w:rPr/>
      </w:pPr>
      <w:r>
        <w:rPr>
          <w:rStyle w:val="FootnoteCharacters"/>
        </w:rPr>
        <w:footnoteRef/>
      </w:r>
      <w:r>
        <w:rPr/>
        <w:t xml:space="preserve"> </w:t>
      </w:r>
      <w:hyperlink r:id="rId24">
        <w:r>
          <w:rPr>
            <w:rStyle w:val="Hyperlink"/>
          </w:rPr>
          <w:t>IHK Frankfurt — E-Rechnungspflicht</w:t>
        </w:r>
      </w:hyperlink>
      <w:r>
        <w:rPr/>
        <w:t xml:space="preserve"> — Behördenbericht, 2025</w:t>
      </w:r>
    </w:p>
  </w:footnote>
  <w:footnote w:id="26">
    <w:p>
      <w:pPr>
        <w:pStyle w:val="FootnoteText"/>
        <w:spacing w:before="0" w:after="200"/>
        <w:rPr/>
      </w:pPr>
      <w:r>
        <w:rPr>
          <w:rStyle w:val="FootnoteCharacters"/>
        </w:rPr>
        <w:footnoteRef/>
      </w:r>
      <w:r>
        <w:rPr/>
        <w:t xml:space="preserve"> </w:t>
      </w:r>
      <w:hyperlink r:id="rId25">
        <w:r>
          <w:rPr>
            <w:rStyle w:val="Hyperlink"/>
          </w:rPr>
          <w:t>IHK Darmstadt — E-Rechnung und Meldesystem</w:t>
        </w:r>
      </w:hyperlink>
      <w:r>
        <w:rPr/>
        <w:t xml:space="preserve"> — Behördenbericht, 2025</w:t>
      </w:r>
    </w:p>
  </w:footnote>
  <w:footnote w:id="27">
    <w:p>
      <w:pPr>
        <w:pStyle w:val="FootnoteText"/>
        <w:spacing w:before="0" w:after="200"/>
        <w:rPr/>
      </w:pPr>
      <w:r>
        <w:rPr>
          <w:rStyle w:val="FootnoteCharacters"/>
        </w:rPr>
        <w:footnoteRef/>
      </w:r>
      <w:r>
        <w:rPr/>
        <w:t xml:space="preserve"> </w:t>
      </w:r>
      <w:hyperlink r:id="rId26">
        <w:r>
          <w:rPr>
            <w:rStyle w:val="Hyperlink"/>
          </w:rPr>
          <w:t>Lexware — Verfahrensdokumentation</w:t>
        </w:r>
      </w:hyperlink>
      <w:r>
        <w:rPr/>
        <w:t xml:space="preserve"> — Blogbeitrag, 2025</w:t>
      </w:r>
    </w:p>
  </w:footnote>
  <w:footnote w:id="28">
    <w:p>
      <w:pPr>
        <w:pStyle w:val="FootnoteText"/>
        <w:spacing w:before="0" w:after="200"/>
        <w:rPr/>
      </w:pPr>
      <w:r>
        <w:rPr>
          <w:rStyle w:val="FootnoteCharacters"/>
        </w:rPr>
        <w:footnoteRef/>
      </w:r>
      <w:r>
        <w:rPr/>
        <w:t xml:space="preserve"> </w:t>
      </w:r>
      <w:hyperlink r:id="rId27">
        <w:r>
          <w:rPr>
            <w:rStyle w:val="Hyperlink"/>
          </w:rPr>
          <w:t>dokutar — Verfahrensdokumentation für Kleinunternehmen</w:t>
        </w:r>
      </w:hyperlink>
      <w:r>
        <w:rPr/>
        <w:t xml:space="preserve"> — Blogbeitrag</w:t>
      </w:r>
    </w:p>
  </w:footnote>
  <w:footnote w:id="29">
    <w:p>
      <w:pPr>
        <w:pStyle w:val="FootnoteText"/>
        <w:spacing w:before="0" w:after="200"/>
        <w:rPr/>
      </w:pPr>
      <w:r>
        <w:rPr>
          <w:rStyle w:val="FootnoteCharacters"/>
        </w:rPr>
        <w:footnoteRef/>
      </w:r>
      <w:r>
        <w:rPr/>
        <w:t xml:space="preserve"> </w:t>
      </w:r>
      <w:hyperlink r:id="rId28">
        <w:r>
          <w:rPr>
            <w:rStyle w:val="Hyperlink"/>
          </w:rPr>
          <w:t>HackerNoon — Why AI Agents Choose Markdown</w:t>
        </w:r>
      </w:hyperlink>
      <w:r>
        <w:rPr/>
        <w:t xml:space="preserve"> — Blogbeitrag, 2025</w:t>
      </w:r>
    </w:p>
  </w:footnote>
  <w:footnote w:id="30">
    <w:p>
      <w:pPr>
        <w:pStyle w:val="FootnoteText"/>
        <w:spacing w:before="0" w:after="200"/>
        <w:rPr/>
      </w:pPr>
      <w:r>
        <w:rPr>
          <w:rStyle w:val="FootnoteCharacters"/>
        </w:rPr>
        <w:footnoteRef/>
      </w:r>
      <w:r>
        <w:rPr/>
        <w:t xml:space="preserve"> </w:t>
      </w:r>
      <w:hyperlink r:id="rId29">
        <w:r>
          <w:rPr>
            <w:rStyle w:val="Hyperlink"/>
          </w:rPr>
          <w:t>Cloudflare — Markdown for Agents</w:t>
        </w:r>
      </w:hyperlink>
      <w:r>
        <w:rPr/>
        <w:t xml:space="preserve"> — Blogbeitrag, 2026</w:t>
      </w:r>
    </w:p>
  </w:footnote>
  <w:footnote w:id="31">
    <w:p>
      <w:pPr>
        <w:pStyle w:val="FootnoteText"/>
        <w:spacing w:before="0" w:after="200"/>
        <w:rPr/>
      </w:pPr>
      <w:r>
        <w:rPr>
          <w:rStyle w:val="FootnoteCharacters"/>
        </w:rPr>
        <w:footnoteRef/>
      </w:r>
      <w:r>
        <w:rPr/>
        <w:t xml:space="preserve"> </w:t>
      </w:r>
      <w:hyperlink r:id="rId30">
        <w:r>
          <w:rPr>
            <w:rStyle w:val="Hyperlink"/>
          </w:rPr>
          <w:t>Techsistence — Plain Text is What You Need</w:t>
        </w:r>
      </w:hyperlink>
      <w:r>
        <w:rPr/>
        <w:t xml:space="preserve"> — Blogbeitrag</w:t>
      </w:r>
    </w:p>
  </w:footnote>
  <w:footnote w:id="32">
    <w:p>
      <w:pPr>
        <w:pStyle w:val="FootnoteText"/>
        <w:spacing w:before="0" w:after="200"/>
        <w:rPr/>
      </w:pPr>
      <w:r>
        <w:rPr>
          <w:rStyle w:val="FootnoteCharacters"/>
        </w:rPr>
        <w:footnoteRef/>
      </w:r>
      <w:r>
        <w:rPr/>
        <w:t xml:space="preserve"> </w:t>
      </w:r>
      <w:hyperlink r:id="rId31">
        <w:r>
          <w:rPr>
            <w:rStyle w:val="Hyperlink"/>
          </w:rPr>
          <w:t>Steakhouse Blog — Front-Matter Standard</w:t>
        </w:r>
      </w:hyperlink>
      <w:r>
        <w:rPr/>
        <w:t xml:space="preserve"> — Blogbeitrag, 2025</w:t>
      </w:r>
    </w:p>
  </w:footnote>
  <w:footnote w:id="33">
    <w:p>
      <w:pPr>
        <w:pStyle w:val="FootnoteText"/>
        <w:spacing w:before="0" w:after="200"/>
        <w:rPr/>
      </w:pPr>
      <w:r>
        <w:rPr>
          <w:rStyle w:val="FootnoteCharacters"/>
        </w:rPr>
        <w:footnoteRef/>
      </w:r>
      <w:r>
        <w:rPr/>
        <w:t xml:space="preserve"> </w:t>
      </w:r>
      <w:hyperlink r:id="rId32">
        <w:r>
          <w:rPr>
            <w:rStyle w:val="Hyperlink"/>
          </w:rPr>
          <w:t>Claude Platform — Agent Skills Overview</w:t>
        </w:r>
      </w:hyperlink>
      <w:r>
        <w:rPr/>
        <w:t xml:space="preserve"> — Offizielle Dokumentation</w:t>
      </w:r>
    </w:p>
  </w:footnote>
  <w:footnote w:id="34">
    <w:p>
      <w:pPr>
        <w:pStyle w:val="FootnoteText"/>
        <w:spacing w:before="0" w:after="200"/>
        <w:rPr/>
      </w:pPr>
      <w:r>
        <w:rPr>
          <w:rStyle w:val="FootnoteCharacters"/>
        </w:rPr>
        <w:footnoteRef/>
      </w:r>
      <w:r>
        <w:rPr/>
        <w:t xml:space="preserve"> </w:t>
      </w:r>
      <w:hyperlink r:id="rId33">
        <w:r>
          <w:rPr>
            <w:rStyle w:val="Hyperlink"/>
          </w:rPr>
          <w:t>AGENTS.md Official Website</w:t>
        </w:r>
      </w:hyperlink>
      <w:r>
        <w:rPr/>
        <w:t xml:space="preserve"> — Offizielle Dokumentation, 2025</w:t>
      </w:r>
    </w:p>
  </w:footnote>
  <w:footnote w:id="35">
    <w:p>
      <w:pPr>
        <w:pStyle w:val="FootnoteText"/>
        <w:spacing w:before="0" w:after="200"/>
        <w:rPr/>
      </w:pPr>
      <w:r>
        <w:rPr>
          <w:rStyle w:val="FootnoteCharacters"/>
        </w:rPr>
        <w:footnoteRef/>
      </w:r>
      <w:r>
        <w:rPr/>
        <w:t xml:space="preserve"> </w:t>
      </w:r>
      <w:hyperlink r:id="rId34">
        <w:r>
          <w:rPr>
            <w:rStyle w:val="Hyperlink"/>
          </w:rPr>
          <w:t>Linux Foundation — Agentic AI Foundation</w:t>
        </w:r>
      </w:hyperlink>
      <w:r>
        <w:rPr/>
        <w:t xml:space="preserve"> — Pressemitteilung, 2025</w:t>
      </w:r>
    </w:p>
  </w:footnote>
  <w:footnote w:id="36">
    <w:p>
      <w:pPr>
        <w:pStyle w:val="FootnoteText"/>
        <w:spacing w:before="0" w:after="200"/>
        <w:rPr/>
      </w:pPr>
      <w:r>
        <w:rPr>
          <w:rStyle w:val="FootnoteCharacters"/>
        </w:rPr>
        <w:footnoteRef/>
      </w:r>
      <w:r>
        <w:rPr/>
        <w:t xml:space="preserve"> </w:t>
      </w:r>
      <w:hyperlink r:id="rId35">
        <w:r>
          <w:rPr>
            <w:rStyle w:val="Hyperlink"/>
          </w:rPr>
          <w:t>InfoQ — ETH Zürich Study on Context Files</w:t>
        </w:r>
      </w:hyperlink>
      <w:r>
        <w:rPr/>
        <w:t xml:space="preserve"> — Nachrichtenartikel, 2026</w:t>
      </w:r>
    </w:p>
  </w:footnote>
  <w:footnote w:id="37">
    <w:p>
      <w:pPr>
        <w:pStyle w:val="FootnoteText"/>
        <w:spacing w:before="0" w:after="200"/>
        <w:rPr/>
      </w:pPr>
      <w:r>
        <w:rPr>
          <w:rStyle w:val="FootnoteCharacters"/>
        </w:rPr>
        <w:footnoteRef/>
      </w:r>
      <w:r>
        <w:rPr/>
        <w:t xml:space="preserve"> </w:t>
      </w:r>
      <w:hyperlink r:id="rId36">
        <w:r>
          <w:rPr>
            <w:rStyle w:val="Hyperlink"/>
          </w:rPr>
          <w:t>arXiv — AGENTS.md Study</w:t>
        </w:r>
      </w:hyperlink>
      <w:r>
        <w:rPr/>
        <w:t xml:space="preserve"> — Fachartikel</w:t>
      </w:r>
    </w:p>
  </w:footnote>
  <w:footnote w:id="38">
    <w:p>
      <w:pPr>
        <w:pStyle w:val="FootnoteText"/>
        <w:spacing w:before="0" w:after="200"/>
        <w:rPr/>
      </w:pPr>
      <w:r>
        <w:rPr>
          <w:rStyle w:val="FootnoteCharacters"/>
        </w:rPr>
        <w:footnoteRef/>
      </w:r>
      <w:r>
        <w:rPr/>
        <w:t xml:space="preserve"> </w:t>
      </w:r>
      <w:hyperlink r:id="rId37">
        <w:r>
          <w:rPr>
            <w:rStyle w:val="Hyperlink"/>
          </w:rPr>
          <w:t>Kosli — Git as Compliance Audit Trail</w:t>
        </w:r>
      </w:hyperlink>
      <w:r>
        <w:rPr/>
        <w:t xml:space="preserve"> — Technischer Bericht, 2024</w:t>
      </w:r>
    </w:p>
  </w:footnote>
  <w:footnote w:id="39">
    <w:p>
      <w:pPr>
        <w:pStyle w:val="FootnoteText"/>
        <w:spacing w:before="0" w:after="200"/>
        <w:rPr/>
      </w:pPr>
      <w:r>
        <w:rPr>
          <w:rStyle w:val="FootnoteCharacters"/>
        </w:rPr>
        <w:footnoteRef/>
      </w:r>
      <w:r>
        <w:rPr/>
        <w:t xml:space="preserve"> </w:t>
      </w:r>
      <w:hyperlink r:id="rId38">
        <w:r>
          <w:rPr>
            <w:rStyle w:val="Hyperlink"/>
          </w:rPr>
          <w:t>Graphlit — File Search vs. RAG</w:t>
        </w:r>
      </w:hyperlink>
      <w:r>
        <w:rPr/>
        <w:t xml:space="preserve"> — Blogbeitrag</w:t>
      </w:r>
    </w:p>
  </w:footnote>
  <w:footnote w:id="40">
    <w:p>
      <w:pPr>
        <w:pStyle w:val="FootnoteText"/>
        <w:spacing w:before="0" w:after="200"/>
        <w:rPr/>
      </w:pPr>
      <w:r>
        <w:rPr>
          <w:rStyle w:val="FootnoteCharacters"/>
        </w:rPr>
        <w:footnoteRef/>
      </w:r>
      <w:r>
        <w:rPr/>
        <w:t xml:space="preserve"> </w:t>
      </w:r>
      <w:hyperlink r:id="rId39">
        <w:r>
          <w:rPr>
            <w:rStyle w:val="Hyperlink"/>
          </w:rPr>
          <w:t>Harvard — File Naming Conventions</w:t>
        </w:r>
      </w:hyperlink>
      <w:r>
        <w:rPr/>
        <w:t xml:space="preserve"> — Technischer Bericht</w:t>
      </w:r>
    </w:p>
  </w:footnote>
  <w:footnote w:id="41">
    <w:p>
      <w:pPr>
        <w:pStyle w:val="FootnoteText"/>
        <w:spacing w:before="0" w:after="200"/>
        <w:rPr/>
      </w:pPr>
      <w:r>
        <w:rPr>
          <w:rStyle w:val="FootnoteCharacters"/>
        </w:rPr>
        <w:footnoteRef/>
      </w:r>
      <w:r>
        <w:rPr/>
        <w:t xml:space="preserve"> </w:t>
      </w:r>
      <w:hyperlink r:id="rId40">
        <w:r>
          <w:rPr>
            <w:rStyle w:val="Hyperlink"/>
          </w:rPr>
          <w:t>Docuneers — Dateinamen-Konvention</w:t>
        </w:r>
      </w:hyperlink>
      <w:r>
        <w:rPr/>
        <w:t xml:space="preserve"> — Blogbeitrag</w:t>
      </w:r>
    </w:p>
  </w:footnote>
  <w:footnote w:id="42">
    <w:p>
      <w:pPr>
        <w:pStyle w:val="FootnoteText"/>
        <w:spacing w:before="0" w:after="200"/>
        <w:rPr/>
      </w:pPr>
      <w:r>
        <w:rPr>
          <w:rStyle w:val="FootnoteCharacters"/>
        </w:rPr>
        <w:footnoteRef/>
      </w:r>
      <w:r>
        <w:rPr/>
        <w:t xml:space="preserve"> </w:t>
      </w:r>
      <w:hyperlink r:id="rId41">
        <w:r>
          <w:rPr>
            <w:rStyle w:val="Hyperlink"/>
          </w:rPr>
          <w:t>andersgood.de — Paperless-ngx GoBD-konform nutzen</w:t>
        </w:r>
      </w:hyperlink>
      <w:r>
        <w:rPr/>
        <w:t xml:space="preserve"> — Blogbeitrag, 2025</w:t>
      </w:r>
    </w:p>
  </w:footnote>
  <w:footnote w:id="43">
    <w:p>
      <w:pPr>
        <w:pStyle w:val="FootnoteText"/>
        <w:spacing w:before="0" w:after="200"/>
        <w:rPr/>
      </w:pPr>
      <w:r>
        <w:rPr>
          <w:rStyle w:val="FootnoteCharacters"/>
        </w:rPr>
        <w:footnoteRef/>
      </w:r>
      <w:r>
        <w:rPr/>
        <w:t xml:space="preserve"> </w:t>
      </w:r>
      <w:hyperlink r:id="rId42">
        <w:r>
          <w:rPr>
            <w:rStyle w:val="Hyperlink"/>
          </w:rPr>
          <w:t>ecmguide.de — DMS für Selbstständige</w:t>
        </w:r>
      </w:hyperlink>
      <w:r>
        <w:rPr/>
        <w:t xml:space="preserve"> — Blogbeitrag, 2025</w:t>
      </w:r>
    </w:p>
  </w:footnote>
  <w:footnote w:id="44">
    <w:p>
      <w:pPr>
        <w:pStyle w:val="FootnoteText"/>
        <w:spacing w:before="0" w:after="200"/>
        <w:rPr/>
      </w:pPr>
      <w:r>
        <w:rPr>
          <w:rStyle w:val="FootnoteCharacters"/>
        </w:rPr>
        <w:footnoteRef/>
      </w:r>
      <w:r>
        <w:rPr/>
        <w:t xml:space="preserve"> </w:t>
      </w:r>
      <w:hyperlink r:id="rId43">
        <w:r>
          <w:rPr>
            <w:rStyle w:val="Hyperlink"/>
          </w:rPr>
          <w:t>andersgood.de — Paperless-ngx GoBD-konform nutzen</w:t>
        </w:r>
      </w:hyperlink>
      <w:r>
        <w:rPr/>
        <w:t xml:space="preserve"> — Blogbeitrag, 2025</w:t>
      </w:r>
    </w:p>
  </w:footnote>
  <w:footnote w:id="45">
    <w:p>
      <w:pPr>
        <w:pStyle w:val="FootnoteText"/>
        <w:spacing w:before="0" w:after="200"/>
        <w:rPr/>
      </w:pPr>
      <w:r>
        <w:rPr>
          <w:rStyle w:val="FootnoteCharacters"/>
        </w:rPr>
        <w:footnoteRef/>
      </w:r>
      <w:r>
        <w:rPr/>
        <w:t xml:space="preserve"> </w:t>
      </w:r>
      <w:hyperlink r:id="rId44">
        <w:r>
          <w:rPr>
            <w:rStyle w:val="Hyperlink"/>
          </w:rPr>
          <w:t>GitHub — paperlessngx-to-sevdesk</w:t>
        </w:r>
      </w:hyperlink>
      <w:r>
        <w:rPr/>
        <w:t xml:space="preserve"> — Technischer Bericht</w:t>
      </w:r>
    </w:p>
  </w:footnote>
  <w:footnote w:id="46">
    <w:p>
      <w:pPr>
        <w:pStyle w:val="FootnoteText"/>
        <w:spacing w:before="0" w:after="200"/>
        <w:rPr/>
      </w:pPr>
      <w:r>
        <w:rPr>
          <w:rStyle w:val="FootnoteCharacters"/>
        </w:rPr>
        <w:footnoteRef/>
      </w:r>
      <w:r>
        <w:rPr/>
        <w:t xml:space="preserve"> </w:t>
      </w:r>
      <w:hyperlink r:id="rId45">
        <w:r>
          <w:rPr>
            <w:rStyle w:val="Hyperlink"/>
          </w:rPr>
          <w:t>OCRmyPDF — Dokumentation</w:t>
        </w:r>
      </w:hyperlink>
      <w:r>
        <w:rPr/>
        <w:t xml:space="preserve"> — Offizielle Dokumentation, 2025</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2">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embedSystemFonts/>
  <w:defaultTabStop w:val="720"/>
  <w:autoHyphenation w:val="true"/>
  <w:hyphenationZone w:val="0"/>
  <w:footnotePr>
    <w:numFmt w:val="decimal"/>
    <w:numRestart w:val="eachSect"/>
    <w:footnote w:id="0"/>
    <w:footnote w:id="1"/>
  </w:footnotePr>
  <w:compat>
    <w:compatSetting w:name="compatibilityMode" w:uri="http://schemas.microsoft.com/office/word" w:val="12"/>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 w:cs="" w:asciiTheme="minorHAnsi" w:cstheme="minorBidi" w:eastAsiaTheme="minorEastAsia" w:hAnsiTheme="minorHAnsi"/>
        <w:sz w:val="24"/>
        <w:szCs w:val="24"/>
        <w:lang w:val="en-US" w:eastAsia="zh-CN" w:bidi="ar-SA"/>
      </w:rPr>
    </w:rPrDefault>
    <w:pPrDefault>
      <w:pPr>
        <w:suppressAutoHyphens w:val="true"/>
      </w:pPr>
    </w:pPrDefault>
  </w:docDefaults>
  <w:latentStyles w:defLockedState="0" w:defUIPriority="0" w:defSemiHidden="0" w:defUnhideWhenUsed="0" w:defQFormat="0" w:count="276"/>
  <w:style w:type="paragraph" w:styleId="Normal" w:default="1">
    <w:name w:val="Normal"/>
    <w:qFormat/>
    <w:pPr>
      <w:widowControl/>
      <w:bidi w:val="0"/>
      <w:spacing w:before="0" w:after="200"/>
      <w:jc w:val="left"/>
    </w:pPr>
    <w:rPr>
      <w:rFonts w:ascii="Aptos" w:hAnsi="Aptos" w:eastAsia="" w:cs="" w:asciiTheme="minorHAnsi" w:cstheme="minorBidi" w:eastAsiaTheme="minorEastAsia" w:hAnsiTheme="minorHAnsi"/>
      <w:color w:val="auto"/>
      <w:kern w:val="0"/>
      <w:sz w:val="24"/>
      <w:szCs w:val="24"/>
      <w:lang w:val="en-US" w:eastAsia="zh-CN" w:bidi="ar-SA"/>
    </w:rPr>
  </w:style>
  <w:style w:type="paragraph" w:styleId="Heading1">
    <w:name w:val="heading 1"/>
    <w:basedOn w:val="Normal"/>
    <w:next w:val="BodyText"/>
    <w:link w:val="Heading1Char"/>
    <w:uiPriority w:val="9"/>
    <w:qFormat/>
    <w:rsid w:val="00a10fd9"/>
    <w:pPr>
      <w:keepNext w:val="true"/>
      <w:keepLines/>
      <w:spacing w:before="360" w:after="80"/>
      <w:outlineLvl w:val="0"/>
    </w:pPr>
    <w:rPr>
      <w:rFonts w:ascii="Aptos Display" w:hAnsi="Aptos Display" w:eastAsia="" w:cs="" w:asciiTheme="majorHAnsi" w:cstheme="majorBidi" w:eastAsiaTheme="majorEastAsia" w:hAnsiTheme="majorHAnsi"/>
      <w:color w:themeColor="accent1" w:themeShade="bf" w:val="0F4761"/>
      <w:sz w:val="40"/>
      <w:szCs w:val="40"/>
    </w:rPr>
  </w:style>
  <w:style w:type="paragraph" w:styleId="Heading2">
    <w:name w:val="heading 2"/>
    <w:basedOn w:val="Normal"/>
    <w:next w:val="BodyText"/>
    <w:link w:val="Heading2Char"/>
    <w:uiPriority w:val="9"/>
    <w:semiHidden/>
    <w:unhideWhenUsed/>
    <w:qFormat/>
    <w:rsid w:val="00a10fd9"/>
    <w:pPr>
      <w:keepNext w:val="true"/>
      <w:keepLines/>
      <w:spacing w:before="160" w:after="80"/>
      <w:outlineLvl w:val="1"/>
    </w:pPr>
    <w:rPr>
      <w:rFonts w:ascii="Aptos Display" w:hAnsi="Aptos Display" w:eastAsia="" w:cs="" w:asciiTheme="majorHAnsi" w:cstheme="majorBidi" w:eastAsiaTheme="majorEastAsia" w:hAnsiTheme="majorHAnsi"/>
      <w:color w:themeColor="accent1" w:themeShade="bf" w:val="0F4761"/>
      <w:sz w:val="32"/>
      <w:szCs w:val="32"/>
    </w:rPr>
  </w:style>
  <w:style w:type="paragraph" w:styleId="Heading3">
    <w:name w:val="heading 3"/>
    <w:basedOn w:val="Normal"/>
    <w:next w:val="BodyText"/>
    <w:link w:val="Heading3Char"/>
    <w:uiPriority w:val="9"/>
    <w:semiHidden/>
    <w:unhideWhenUsed/>
    <w:qFormat/>
    <w:rsid w:val="00a10fd9"/>
    <w:pPr>
      <w:keepNext w:val="true"/>
      <w:keepLines/>
      <w:spacing w:before="160" w:after="80"/>
      <w:outlineLvl w:val="2"/>
    </w:pPr>
    <w:rPr>
      <w:rFonts w:eastAsia="" w:cs="" w:cstheme="majorBidi" w:eastAsiaTheme="majorEastAsia"/>
      <w:color w:themeColor="accent1" w:themeShade="bf" w:val="0F4761"/>
      <w:sz w:val="28"/>
      <w:szCs w:val="28"/>
    </w:rPr>
  </w:style>
  <w:style w:type="paragraph" w:styleId="Heading4">
    <w:name w:val="heading 4"/>
    <w:basedOn w:val="Normal"/>
    <w:next w:val="BodyText"/>
    <w:link w:val="Heading4Char"/>
    <w:uiPriority w:val="9"/>
    <w:semiHidden/>
    <w:unhideWhenUsed/>
    <w:qFormat/>
    <w:rsid w:val="00a10fd9"/>
    <w:pPr>
      <w:keepNext w:val="true"/>
      <w:keepLines/>
      <w:spacing w:before="80" w:after="40"/>
      <w:outlineLvl w:val="3"/>
    </w:pPr>
    <w:rPr>
      <w:rFonts w:eastAsia="" w:cs="" w:cstheme="majorBidi" w:eastAsiaTheme="majorEastAsia"/>
      <w:i/>
      <w:iCs/>
      <w:color w:themeColor="accent1" w:themeShade="bf" w:val="0F4761"/>
    </w:rPr>
  </w:style>
  <w:style w:type="paragraph" w:styleId="Heading5">
    <w:name w:val="heading 5"/>
    <w:basedOn w:val="Normal"/>
    <w:next w:val="BodyText"/>
    <w:link w:val="Heading5Char"/>
    <w:uiPriority w:val="9"/>
    <w:semiHidden/>
    <w:unhideWhenUsed/>
    <w:qFormat/>
    <w:rsid w:val="00a10fd9"/>
    <w:pPr>
      <w:keepNext w:val="true"/>
      <w:keepLines/>
      <w:spacing w:before="80" w:after="40"/>
      <w:outlineLvl w:val="4"/>
    </w:pPr>
    <w:rPr>
      <w:rFonts w:eastAsia="" w:cs="" w:cstheme="majorBidi" w:eastAsiaTheme="majorEastAsia"/>
      <w:color w:themeColor="accent1" w:themeShade="bf" w:val="0F4761"/>
    </w:rPr>
  </w:style>
  <w:style w:type="paragraph" w:styleId="Heading6">
    <w:name w:val="heading 6"/>
    <w:basedOn w:val="Normal"/>
    <w:next w:val="BodyText"/>
    <w:link w:val="Heading6Char"/>
    <w:uiPriority w:val="9"/>
    <w:semiHidden/>
    <w:unhideWhenUsed/>
    <w:qFormat/>
    <w:rsid w:val="00a10fd9"/>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BodyText"/>
    <w:link w:val="Heading7Char"/>
    <w:uiPriority w:val="9"/>
    <w:semiHidden/>
    <w:unhideWhenUsed/>
    <w:qFormat/>
    <w:rsid w:val="00a10fd9"/>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BodyText"/>
    <w:link w:val="Heading8Char"/>
    <w:uiPriority w:val="9"/>
    <w:semiHidden/>
    <w:unhideWhenUsed/>
    <w:qFormat/>
    <w:rsid w:val="00a10fd9"/>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BodyText"/>
    <w:link w:val="Heading9Char"/>
    <w:uiPriority w:val="9"/>
    <w:semiHidden/>
    <w:unhideWhenUsed/>
    <w:qFormat/>
    <w:rsid w:val="00a10fd9"/>
    <w:pPr>
      <w:keepNext w:val="true"/>
      <w:keepLines/>
      <w:spacing w:before="0" w:after="0"/>
      <w:outlineLvl w:val="8"/>
    </w:pPr>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a10fd9"/>
    <w:rPr>
      <w:rFonts w:ascii="Aptos Display" w:hAnsi="Aptos Display" w:eastAsia="" w:cs="" w:asciiTheme="majorHAnsi" w:cstheme="majorBidi" w:eastAsiaTheme="majorEastAsia" w:hAnsiTheme="majorHAnsi"/>
      <w:sz w:val="56"/>
      <w:szCs w:val="56"/>
    </w:rPr>
  </w:style>
  <w:style w:type="character" w:styleId="SubtitleChar" w:customStyle="1">
    <w:name w:val="Subtitle Char"/>
    <w:basedOn w:val="DefaultParagraphFont"/>
    <w:link w:val="Subtitle"/>
    <w:uiPriority w:val="11"/>
    <w:qFormat/>
    <w:rsid w:val="00a10fd9"/>
    <w:rPr>
      <w:rFonts w:eastAsia="" w:cs="" w:cstheme="majorBidi" w:eastAsiaTheme="majorEastAsia"/>
      <w:color w:themeColor="text1" w:themeTint="a6" w:val="595959"/>
      <w:spacing w:val="15"/>
      <w:sz w:val="28"/>
      <w:szCs w:val="28"/>
    </w:rPr>
  </w:style>
  <w:style w:type="character" w:styleId="Heading1Char" w:customStyle="1">
    <w:name w:val="Heading 1 Char"/>
    <w:basedOn w:val="DefaultParagraphFont"/>
    <w:link w:val="Heading1"/>
    <w:uiPriority w:val="9"/>
    <w:qFormat/>
    <w:rsid w:val="00a10fd9"/>
    <w:rPr>
      <w:rFonts w:ascii="Aptos Display" w:hAnsi="Aptos Display" w:eastAsia="" w:cs="" w:asciiTheme="majorHAnsi" w:cstheme="majorBidi" w:eastAsiaTheme="majorEastAsia" w:hAnsiTheme="majorHAnsi"/>
      <w:color w:themeColor="accent1" w:themeShade="bf" w:val="0F4761"/>
      <w:sz w:val="40"/>
      <w:szCs w:val="40"/>
    </w:rPr>
  </w:style>
  <w:style w:type="character" w:styleId="Heading2Char" w:customStyle="1">
    <w:name w:val="Heading 2 Char"/>
    <w:basedOn w:val="DefaultParagraphFont"/>
    <w:link w:val="Heading2"/>
    <w:uiPriority w:val="9"/>
    <w:semiHidden/>
    <w:qFormat/>
    <w:rsid w:val="00a10fd9"/>
    <w:rPr>
      <w:rFonts w:ascii="Aptos Display" w:hAnsi="Aptos Display" w:eastAsia="" w:cs="" w:asciiTheme="majorHAnsi" w:cstheme="majorBidi" w:eastAsiaTheme="majorEastAsia" w:hAnsiTheme="majorHAnsi"/>
      <w:color w:themeColor="accent1" w:themeShade="bf" w:val="0F4761"/>
      <w:sz w:val="32"/>
      <w:szCs w:val="32"/>
    </w:rPr>
  </w:style>
  <w:style w:type="character" w:styleId="Heading3Char" w:customStyle="1">
    <w:name w:val="Heading 3 Char"/>
    <w:basedOn w:val="DefaultParagraphFont"/>
    <w:link w:val="Heading3"/>
    <w:uiPriority w:val="9"/>
    <w:semiHidden/>
    <w:qFormat/>
    <w:rsid w:val="00a10fd9"/>
    <w:rPr>
      <w:rFonts w:eastAsia="" w:cs="" w:cstheme="majorBidi" w:eastAsiaTheme="majorEastAsia"/>
      <w:color w:themeColor="accent1" w:themeShade="bf" w:val="0F4761"/>
      <w:sz w:val="28"/>
      <w:szCs w:val="28"/>
    </w:rPr>
  </w:style>
  <w:style w:type="character" w:styleId="Heading4Char" w:customStyle="1">
    <w:name w:val="Heading 4 Char"/>
    <w:basedOn w:val="DefaultParagraphFont"/>
    <w:link w:val="Heading4"/>
    <w:uiPriority w:val="9"/>
    <w:semiHidden/>
    <w:qFormat/>
    <w:rsid w:val="00a10fd9"/>
    <w:rPr>
      <w:rFonts w:eastAsia="" w:cs="" w:cstheme="majorBidi" w:eastAsiaTheme="majorEastAsia"/>
      <w:i/>
      <w:iCs/>
      <w:color w:themeColor="accent1" w:themeShade="bf" w:val="0F4761"/>
    </w:rPr>
  </w:style>
  <w:style w:type="character" w:styleId="Heading5Char" w:customStyle="1">
    <w:name w:val="Heading 5 Char"/>
    <w:basedOn w:val="DefaultParagraphFont"/>
    <w:link w:val="Heading5"/>
    <w:uiPriority w:val="9"/>
    <w:semiHidden/>
    <w:qFormat/>
    <w:rsid w:val="00a10fd9"/>
    <w:rPr>
      <w:rFonts w:eastAsia="" w:cs="" w:cstheme="majorBidi" w:eastAsiaTheme="majorEastAsia"/>
      <w:color w:themeColor="accent1" w:themeShade="bf" w:val="0F4761"/>
    </w:rPr>
  </w:style>
  <w:style w:type="character" w:styleId="Heading6Char" w:customStyle="1">
    <w:name w:val="Heading 6 Char"/>
    <w:basedOn w:val="DefaultParagraphFont"/>
    <w:link w:val="Heading6"/>
    <w:uiPriority w:val="9"/>
    <w:semiHidden/>
    <w:qFormat/>
    <w:rsid w:val="00a10fd9"/>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a10fd9"/>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a10fd9"/>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a10fd9"/>
    <w:rPr>
      <w:rFonts w:eastAsia="" w:cs="" w:cstheme="majorBidi" w:eastAsiaTheme="majorEastAsia"/>
      <w:color w:themeColor="text1" w:themeTint="d8" w:val="272727"/>
    </w:rPr>
  </w:style>
  <w:style w:type="character" w:styleId="DefaultParagraphFont" w:default="1">
    <w:name w:val="Default Paragraph Font"/>
    <w:semiHidden/>
    <w:unhideWhenUsed/>
    <w:qFormat/>
    <w:rPr/>
  </w:style>
  <w:style w:type="character" w:styleId="BodyTextChar" w:customStyle="1">
    <w:name w:val="Body Text Char"/>
    <w:basedOn w:val="DefaultParagraphFont"/>
    <w:qFormat/>
    <w:rPr/>
  </w:style>
  <w:style w:type="character" w:styleId="VerbatimChar" w:customStyle="1">
    <w:name w:val="Verbatim Char"/>
    <w:basedOn w:val="BodyTextChar"/>
    <w:qFormat/>
    <w:rPr>
      <w:rFonts w:ascii="Consolas" w:hAnsi="Consolas"/>
      <w:sz w:val="22"/>
    </w:rPr>
  </w:style>
  <w:style w:type="character" w:styleId="SectionNumber" w:customStyle="1">
    <w:name w:val="Section Number"/>
    <w:basedOn w:val="BodyTextChar"/>
    <w:qFormat/>
    <w:rPr/>
  </w:style>
  <w:style w:type="character" w:styleId="FootnoteCharacters">
    <w:name w:val="Footnote Characters"/>
    <w:basedOn w:val="BodyTextChar"/>
    <w:qFormat/>
    <w:rPr>
      <w:vertAlign w:val="superscript"/>
    </w:rPr>
  </w:style>
  <w:style w:type="character" w:styleId="FootnoteReference">
    <w:name w:val="footnote reference"/>
    <w:rPr>
      <w:vertAlign w:val="superscript"/>
    </w:rPr>
  </w:style>
  <w:style w:type="character" w:styleId="Hyperlink">
    <w:name w:val="Hyperlink"/>
    <w:basedOn w:val="BodyTextChar"/>
    <w:rPr>
      <w:color w:themeColor="accent1" w:val="4F81BD"/>
    </w:rPr>
  </w:style>
  <w:style w:type="character" w:styleId="KeywordTok" w:customStyle="1">
    <w:name w:val="KeywordTok"/>
    <w:basedOn w:val="VerbatimChar"/>
    <w:qFormat/>
    <w:rPr>
      <w:b/>
      <w:color w:val="007020"/>
    </w:rPr>
  </w:style>
  <w:style w:type="character" w:styleId="DataTypeTok" w:customStyle="1">
    <w:name w:val="DataTypeTok"/>
    <w:basedOn w:val="VerbatimChar"/>
    <w:qFormat/>
    <w:rPr>
      <w:color w:val="902000"/>
    </w:rPr>
  </w:style>
  <w:style w:type="character" w:styleId="DecValTok" w:customStyle="1">
    <w:name w:val="DecValTok"/>
    <w:basedOn w:val="VerbatimChar"/>
    <w:qFormat/>
    <w:rPr>
      <w:color w:val="40A070"/>
    </w:rPr>
  </w:style>
  <w:style w:type="character" w:styleId="BaseNTok" w:customStyle="1">
    <w:name w:val="BaseNTok"/>
    <w:basedOn w:val="VerbatimChar"/>
    <w:qFormat/>
    <w:rPr>
      <w:color w:val="40A070"/>
    </w:rPr>
  </w:style>
  <w:style w:type="character" w:styleId="FloatTok" w:customStyle="1">
    <w:name w:val="FloatTok"/>
    <w:basedOn w:val="VerbatimChar"/>
    <w:qFormat/>
    <w:rPr>
      <w:color w:val="40A070"/>
    </w:rPr>
  </w:style>
  <w:style w:type="character" w:styleId="ConstantTok" w:customStyle="1">
    <w:name w:val="ConstantTok"/>
    <w:basedOn w:val="VerbatimChar"/>
    <w:qFormat/>
    <w:rPr>
      <w:color w:val="880000"/>
    </w:rPr>
  </w:style>
  <w:style w:type="character" w:styleId="CharTok" w:customStyle="1">
    <w:name w:val="CharTok"/>
    <w:basedOn w:val="VerbatimChar"/>
    <w:qFormat/>
    <w:rPr>
      <w:color w:val="4070A0"/>
    </w:rPr>
  </w:style>
  <w:style w:type="character" w:styleId="SpecialCharTok" w:customStyle="1">
    <w:name w:val="SpecialCharTok"/>
    <w:basedOn w:val="VerbatimChar"/>
    <w:qFormat/>
    <w:rPr>
      <w:color w:val="4070A0"/>
    </w:rPr>
  </w:style>
  <w:style w:type="character" w:styleId="StringTok" w:customStyle="1">
    <w:name w:val="StringTok"/>
    <w:basedOn w:val="VerbatimChar"/>
    <w:qFormat/>
    <w:rPr>
      <w:color w:val="4070A0"/>
    </w:rPr>
  </w:style>
  <w:style w:type="character" w:styleId="VerbatimStringTok" w:customStyle="1">
    <w:name w:val="VerbatimStringTok"/>
    <w:basedOn w:val="VerbatimChar"/>
    <w:qFormat/>
    <w:rPr>
      <w:color w:val="4070A0"/>
    </w:rPr>
  </w:style>
  <w:style w:type="character" w:styleId="SpecialStringTok" w:customStyle="1">
    <w:name w:val="SpecialStringTok"/>
    <w:basedOn w:val="VerbatimChar"/>
    <w:qFormat/>
    <w:rPr>
      <w:color w:val="BB6688"/>
    </w:rPr>
  </w:style>
  <w:style w:type="character" w:styleId="ImportTok" w:customStyle="1">
    <w:name w:val="ImportTok"/>
    <w:basedOn w:val="VerbatimChar"/>
    <w:qFormat/>
    <w:rPr>
      <w:b/>
      <w:color w:val="008000"/>
    </w:rPr>
  </w:style>
  <w:style w:type="character" w:styleId="CommentTok" w:customStyle="1">
    <w:name w:val="CommentTok"/>
    <w:basedOn w:val="VerbatimChar"/>
    <w:qFormat/>
    <w:rPr>
      <w:i/>
      <w:color w:val="60A0B0"/>
    </w:rPr>
  </w:style>
  <w:style w:type="character" w:styleId="DocumentationTok" w:customStyle="1">
    <w:name w:val="DocumentationTok"/>
    <w:basedOn w:val="VerbatimChar"/>
    <w:qFormat/>
    <w:rPr>
      <w:i/>
      <w:color w:val="BA2121"/>
    </w:rPr>
  </w:style>
  <w:style w:type="character" w:styleId="AnnotationTok" w:customStyle="1">
    <w:name w:val="AnnotationTok"/>
    <w:basedOn w:val="VerbatimChar"/>
    <w:qFormat/>
    <w:rPr>
      <w:b/>
      <w:i/>
      <w:color w:val="60A0B0"/>
    </w:rPr>
  </w:style>
  <w:style w:type="character" w:styleId="CommentVarTok" w:customStyle="1">
    <w:name w:val="CommentVarTok"/>
    <w:basedOn w:val="VerbatimChar"/>
    <w:qFormat/>
    <w:rPr>
      <w:b/>
      <w:i/>
      <w:color w:val="60A0B0"/>
    </w:rPr>
  </w:style>
  <w:style w:type="character" w:styleId="OtherTok" w:customStyle="1">
    <w:name w:val="OtherTok"/>
    <w:basedOn w:val="VerbatimChar"/>
    <w:qFormat/>
    <w:rPr>
      <w:color w:val="007020"/>
    </w:rPr>
  </w:style>
  <w:style w:type="character" w:styleId="FunctionTok" w:customStyle="1">
    <w:name w:val="FunctionTok"/>
    <w:basedOn w:val="VerbatimChar"/>
    <w:qFormat/>
    <w:rPr>
      <w:color w:val="06287E"/>
    </w:rPr>
  </w:style>
  <w:style w:type="character" w:styleId="VariableTok" w:customStyle="1">
    <w:name w:val="VariableTok"/>
    <w:basedOn w:val="VerbatimChar"/>
    <w:qFormat/>
    <w:rPr>
      <w:color w:val="19177C"/>
    </w:rPr>
  </w:style>
  <w:style w:type="character" w:styleId="ControlFlowTok" w:customStyle="1">
    <w:name w:val="ControlFlowTok"/>
    <w:basedOn w:val="VerbatimChar"/>
    <w:qFormat/>
    <w:rPr>
      <w:b/>
      <w:color w:val="007020"/>
    </w:rPr>
  </w:style>
  <w:style w:type="character" w:styleId="OperatorTok" w:customStyle="1">
    <w:name w:val="OperatorTok"/>
    <w:basedOn w:val="VerbatimChar"/>
    <w:qFormat/>
    <w:rPr>
      <w:color w:val="666666"/>
    </w:rPr>
  </w:style>
  <w:style w:type="character" w:styleId="BuiltInTok" w:customStyle="1">
    <w:name w:val="BuiltInTok"/>
    <w:basedOn w:val="VerbatimChar"/>
    <w:qFormat/>
    <w:rPr>
      <w:color w:val="008000"/>
    </w:rPr>
  </w:style>
  <w:style w:type="character" w:styleId="ExtensionTok" w:customStyle="1">
    <w:name w:val="ExtensionTok"/>
    <w:basedOn w:val="VerbatimChar"/>
    <w:qFormat/>
    <w:rPr/>
  </w:style>
  <w:style w:type="character" w:styleId="PreprocessorTok" w:customStyle="1">
    <w:name w:val="PreprocessorTok"/>
    <w:basedOn w:val="VerbatimChar"/>
    <w:qFormat/>
    <w:rPr>
      <w:color w:val="BC7A00"/>
    </w:rPr>
  </w:style>
  <w:style w:type="character" w:styleId="AttributeTok" w:customStyle="1">
    <w:name w:val="AttributeTok"/>
    <w:basedOn w:val="VerbatimChar"/>
    <w:qFormat/>
    <w:rPr>
      <w:color w:val="7D9029"/>
    </w:rPr>
  </w:style>
  <w:style w:type="character" w:styleId="RegionMarkerTok" w:customStyle="1">
    <w:name w:val="RegionMarkerTok"/>
    <w:basedOn w:val="VerbatimChar"/>
    <w:qFormat/>
    <w:rPr/>
  </w:style>
  <w:style w:type="character" w:styleId="InformationTok" w:customStyle="1">
    <w:name w:val="InformationTok"/>
    <w:basedOn w:val="VerbatimChar"/>
    <w:qFormat/>
    <w:rPr>
      <w:b/>
      <w:i/>
      <w:color w:val="60A0B0"/>
    </w:rPr>
  </w:style>
  <w:style w:type="character" w:styleId="WarningTok" w:customStyle="1">
    <w:name w:val="WarningTok"/>
    <w:basedOn w:val="VerbatimChar"/>
    <w:qFormat/>
    <w:rPr>
      <w:b/>
      <w:i/>
      <w:color w:val="60A0B0"/>
    </w:rPr>
  </w:style>
  <w:style w:type="character" w:styleId="AlertTok" w:customStyle="1">
    <w:name w:val="AlertTok"/>
    <w:basedOn w:val="VerbatimChar"/>
    <w:qFormat/>
    <w:rPr>
      <w:b/>
      <w:color w:val="FF0000"/>
    </w:rPr>
  </w:style>
  <w:style w:type="character" w:styleId="ErrorTok" w:customStyle="1">
    <w:name w:val="ErrorTok"/>
    <w:basedOn w:val="VerbatimChar"/>
    <w:qFormat/>
    <w:rPr>
      <w:b/>
      <w:color w:val="FF0000"/>
    </w:rPr>
  </w:style>
  <w:style w:type="character" w:styleId="NormalTok" w:customStyle="1">
    <w:name w:val="NormalTok"/>
    <w:basedOn w:val="VerbatimChar"/>
    <w:qFormat/>
    <w:rPr/>
  </w:style>
  <w:style w:type="character" w:styleId="IndexLink">
    <w:name w:val="Index Link"/>
    <w:qFormat/>
    <w:rPr/>
  </w:style>
  <w:style w:type="character" w:styleId="EndnoteReference">
    <w:name w:val="endnote reference"/>
    <w:rPr>
      <w:vertAlign w:val="superscript"/>
    </w:rPr>
  </w:style>
  <w:style w:type="character" w:styleId="EndnoteCharacters">
    <w:name w:val="Endnote Characters"/>
    <w:qFormat/>
    <w:rPr/>
  </w:style>
  <w:style w:type="paragraph" w:styleId="Heading">
    <w:name w:val="Heading"/>
    <w:basedOn w:val="Normal"/>
    <w:next w:val="BodyText"/>
    <w:qFormat/>
    <w:pPr>
      <w:keepNext w:val="true"/>
      <w:spacing w:before="240" w:after="120"/>
    </w:pPr>
    <w:rPr>
      <w:rFonts w:ascii="Liberation Sans" w:hAnsi="Liberation Sans" w:eastAsia="Arial Unicode MS" w:cs="Arial Unicode MS"/>
      <w:sz w:val="28"/>
      <w:szCs w:val="28"/>
    </w:rPr>
  </w:style>
  <w:style w:type="paragraph" w:styleId="BodyText">
    <w:name w:val="Body Text"/>
    <w:basedOn w:val="Normal"/>
    <w:link w:val="BodyTextChar"/>
    <w:qFormat/>
    <w:pPr>
      <w:spacing w:before="180" w:after="180"/>
    </w:pPr>
    <w:rPr/>
  </w:style>
  <w:style w:type="paragraph" w:styleId="List">
    <w:name w:val="List"/>
    <w:basedOn w:val="BodyText"/>
    <w:pPr/>
    <w:rPr>
      <w:rFonts w:cs="Arial Unicode MS"/>
    </w:rPr>
  </w:style>
  <w:style w:type="paragraph" w:styleId="Caption">
    <w:name w:val="caption"/>
    <w:basedOn w:val="Normal"/>
    <w:link w:val="BodyTextChar"/>
    <w:qFormat/>
    <w:pPr>
      <w:spacing w:before="0" w:after="120"/>
    </w:pPr>
    <w:rPr>
      <w:i/>
    </w:rPr>
  </w:style>
  <w:style w:type="paragraph" w:styleId="Index">
    <w:name w:val="Index"/>
    <w:basedOn w:val="Normal"/>
    <w:qFormat/>
    <w:pPr>
      <w:suppressLineNumbers/>
    </w:pPr>
    <w:rPr>
      <w:rFonts w:cs="Arial Unicode MS"/>
    </w:rPr>
  </w:style>
  <w:style w:type="paragraph" w:styleId="FirstParagraph" w:customStyle="1">
    <w:name w:val="First Paragraph"/>
    <w:basedOn w:val="BodyText"/>
    <w:next w:val="BodyText"/>
    <w:qFormat/>
    <w:pPr/>
    <w:rPr/>
  </w:style>
  <w:style w:type="paragraph" w:styleId="Compact" w:customStyle="1">
    <w:name w:val="Compact"/>
    <w:basedOn w:val="BodyText"/>
    <w:qFormat/>
    <w:pPr>
      <w:spacing w:before="36" w:after="36"/>
    </w:pPr>
    <w:rPr/>
  </w:style>
  <w:style w:type="paragraph" w:styleId="Title">
    <w:name w:val="Title"/>
    <w:basedOn w:val="Normal"/>
    <w:next w:val="BodyText"/>
    <w:link w:val="TitleChar"/>
    <w:uiPriority w:val="10"/>
    <w:qFormat/>
    <w:rsid w:val="00a10fd9"/>
    <w:pPr>
      <w:spacing w:lineRule="auto" w:line="240" w:before="0" w:after="80"/>
      <w:contextualSpacing/>
      <w:jc w:val="center"/>
    </w:pPr>
    <w:rPr>
      <w:rFonts w:ascii="Aptos Display" w:hAnsi="Aptos Display" w:eastAsia="" w:cs="" w:asciiTheme="majorHAnsi" w:cstheme="majorBidi" w:eastAsiaTheme="majorEastAsia" w:hAnsiTheme="majorHAnsi"/>
      <w:sz w:val="56"/>
      <w:szCs w:val="56"/>
    </w:rPr>
  </w:style>
  <w:style w:type="paragraph" w:styleId="Subtitle">
    <w:name w:val="Subtitle"/>
    <w:basedOn w:val="Title"/>
    <w:next w:val="BodyText"/>
    <w:link w:val="SubtitleChar"/>
    <w:uiPriority w:val="11"/>
    <w:qFormat/>
    <w:rsid w:val="00a10fd9"/>
    <w:pPr/>
    <w:rPr>
      <w:rFonts w:eastAsia="" w:cs="" w:cstheme="majorBidi" w:eastAsiaTheme="majorEastAsia"/>
      <w:spacing w:val="15"/>
      <w:sz w:val="28"/>
      <w:szCs w:val="28"/>
    </w:rPr>
  </w:style>
  <w:style w:type="paragraph" w:styleId="Author" w:customStyle="1">
    <w:name w:val="Author"/>
    <w:basedOn w:val="Title"/>
    <w:next w:val="BodyText"/>
    <w:qFormat/>
    <w:pPr>
      <w:keepNext w:val="true"/>
      <w:keepLines/>
    </w:pPr>
    <w:rPr>
      <w:sz w:val="24"/>
      <w:szCs w:val="24"/>
    </w:rPr>
  </w:style>
  <w:style w:type="paragraph" w:styleId="Date">
    <w:name w:val="Date"/>
    <w:basedOn w:val="Title"/>
    <w:next w:val="BodyText"/>
    <w:qFormat/>
    <w:pPr>
      <w:keepNext w:val="true"/>
      <w:keepLines/>
    </w:pPr>
    <w:rPr>
      <w:sz w:val="24"/>
      <w:szCs w:val="24"/>
    </w:rPr>
  </w:style>
  <w:style w:type="paragraph" w:styleId="AbstractTitle" w:customStyle="1">
    <w:name w:val="Abstract Title"/>
    <w:basedOn w:val="Normal"/>
    <w:next w:val="Abstract"/>
    <w:qFormat/>
    <w:pPr>
      <w:keepNext w:val="true"/>
      <w:keepLines/>
      <w:spacing w:before="300" w:after="0"/>
      <w:jc w:val="center"/>
    </w:pPr>
    <w:rPr>
      <w:b/>
      <w:sz w:val="20"/>
      <w:szCs w:val="20"/>
    </w:rPr>
  </w:style>
  <w:style w:type="paragraph" w:styleId="Abstract" w:customStyle="1">
    <w:name w:val="Abstract"/>
    <w:basedOn w:val="Normal"/>
    <w:next w:val="BodyText"/>
    <w:qFormat/>
    <w:pPr>
      <w:keepNext w:val="true"/>
      <w:keepLines/>
      <w:spacing w:before="100" w:after="300"/>
    </w:pPr>
    <w:rPr>
      <w:sz w:val="20"/>
      <w:szCs w:val="20"/>
    </w:rPr>
  </w:style>
  <w:style w:type="paragraph" w:styleId="Bibliography">
    <w:name w:val="Bibliography"/>
    <w:basedOn w:val="Normal"/>
    <w:qFormat/>
    <w:pPr/>
    <w:rPr/>
  </w:style>
  <w:style w:type="paragraph" w:styleId="BlockText">
    <w:name w:val="Block Text"/>
    <w:basedOn w:val="BodyText"/>
    <w:next w:val="BodyText"/>
    <w:uiPriority w:val="9"/>
    <w:unhideWhenUsed/>
    <w:qFormat/>
    <w:pPr>
      <w:spacing w:before="100" w:after="100"/>
      <w:ind w:hanging="0" w:left="480" w:right="480"/>
    </w:pPr>
    <w:rPr/>
  </w:style>
  <w:style w:type="paragraph" w:styleId="FootnoteText">
    <w:name w:val="footnote text"/>
    <w:basedOn w:val="Normal"/>
    <w:uiPriority w:val="9"/>
    <w:unhideWhenUsed/>
    <w:qFormat/>
    <w:pPr/>
    <w:rPr/>
  </w:style>
  <w:style w:type="paragraph" w:styleId="FootnoteBlockText">
    <w:name w:val="Footnote Block Text"/>
    <w:basedOn w:val="FootnoteText"/>
    <w:next w:val="FootnoteText"/>
    <w:uiPriority w:val="9"/>
    <w:unhideWhenUsed/>
    <w:qFormat/>
    <w:pPr>
      <w:spacing w:before="100" w:after="100"/>
      <w:ind w:hanging="0" w:left="480" w:right="480"/>
    </w:pPr>
    <w:rPr/>
  </w:style>
  <w:style w:type="paragraph" w:styleId="DefinitionTerm" w:customStyle="1">
    <w:name w:val="Definition Term"/>
    <w:basedOn w:val="Normal"/>
    <w:next w:val="Definition"/>
    <w:qFormat/>
    <w:pPr>
      <w:keepNext w:val="true"/>
      <w:keepLines/>
      <w:spacing w:before="0" w:after="0"/>
    </w:pPr>
    <w:rPr>
      <w:b/>
    </w:rPr>
  </w:style>
  <w:style w:type="paragraph" w:styleId="Definition" w:customStyle="1">
    <w:name w:val="Definition"/>
    <w:basedOn w:val="Normal"/>
    <w:qFormat/>
    <w:pPr/>
    <w:rPr/>
  </w:style>
  <w:style w:type="paragraph" w:styleId="TableCaption" w:customStyle="1">
    <w:name w:val="Table Caption"/>
    <w:basedOn w:val="Caption"/>
    <w:qFormat/>
    <w:pPr>
      <w:keepNext w:val="true"/>
    </w:pPr>
    <w:rPr/>
  </w:style>
  <w:style w:type="paragraph" w:styleId="ImageCaption" w:customStyle="1">
    <w:name w:val="Image Caption"/>
    <w:basedOn w:val="Caption"/>
    <w:qFormat/>
    <w:pPr/>
    <w:rPr/>
  </w:style>
  <w:style w:type="paragraph" w:styleId="Figure" w:customStyle="1">
    <w:name w:val="Figure"/>
    <w:basedOn w:val="Normal"/>
    <w:qFormat/>
    <w:pPr/>
    <w:rPr/>
  </w:style>
  <w:style w:type="paragraph" w:styleId="CaptionedFigure" w:customStyle="1">
    <w:name w:val="Captioned Figure"/>
    <w:basedOn w:val="Figure"/>
    <w:qFormat/>
    <w:pPr>
      <w:keepNext w:val="true"/>
    </w:pPr>
    <w:rPr/>
  </w:style>
  <w:style w:type="paragraph" w:styleId="IndexHeading">
    <w:name w:val="index heading"/>
    <w:basedOn w:val="Heading"/>
    <w:pPr/>
    <w:rPr/>
  </w:style>
  <w:style w:type="paragraph" w:styleId="TOCHeading">
    <w:name w:val="TOC Heading"/>
    <w:basedOn w:val="Heading1"/>
    <w:next w:val="BodyText"/>
    <w:uiPriority w:val="39"/>
    <w:unhideWhenUsed/>
    <w:qFormat/>
    <w:pPr>
      <w:spacing w:lineRule="auto" w:line="259" w:before="240" w:after="80"/>
      <w:outlineLvl w:val="9"/>
    </w:pPr>
    <w:rPr>
      <w:rFonts w:ascii="Aptos Display" w:hAnsi="Aptos Display" w:eastAsia="" w:cs="" w:asciiTheme="majorHAnsi" w:cstheme="majorBidi" w:eastAsiaTheme="majorEastAsia" w:hAnsiTheme="majorHAnsi"/>
      <w:b w:val="false"/>
      <w:bCs w:val="false"/>
      <w:color w:themeColor="accent1" w:themeShade="bf" w:val="365F91"/>
    </w:rPr>
  </w:style>
  <w:style w:type="paragraph" w:styleId="SourceCode" w:customStyle="1">
    <w:name w:val="Source Code"/>
    <w:basedOn w:val="Normal"/>
    <w:link w:val="VerbatimChar"/>
    <w:qFormat/>
    <w:pPr/>
    <w:rPr/>
  </w:style>
  <w:style w:type="paragraph" w:styleId="HeaderandFooter">
    <w:name w:val="Header and Footer"/>
    <w:basedOn w:val="Normal"/>
    <w:qFormat/>
    <w:pPr/>
    <w:rPr/>
  </w:style>
  <w:style w:type="paragraph" w:styleId="Footer">
    <w:name w:val="footer"/>
    <w:basedOn w:val="HeaderandFooter"/>
    <w:pPr/>
    <w:rPr/>
  </w:style>
  <w:style w:type="paragraph" w:styleId="TOC1">
    <w:name w:val="toc 1"/>
    <w:basedOn w:val="Index"/>
    <w:pPr>
      <w:tabs>
        <w:tab w:val="clear" w:pos="720"/>
        <w:tab w:val="right" w:pos="9360" w:leader="dot"/>
      </w:tabs>
      <w:ind w:hanging="0" w:left="0"/>
    </w:pPr>
    <w:rPr/>
  </w:style>
  <w:style w:type="paragraph" w:styleId="TOC2">
    <w:name w:val="toc 2"/>
    <w:basedOn w:val="Index"/>
    <w:pPr>
      <w:tabs>
        <w:tab w:val="clear" w:pos="720"/>
        <w:tab w:val="right" w:pos="9077" w:leader="dot"/>
      </w:tabs>
      <w:ind w:hanging="0" w:left="283"/>
    </w:pPr>
    <w:rPr/>
  </w:style>
  <w:style w:type="paragraph" w:styleId="TOC3">
    <w:name w:val="toc 3"/>
    <w:basedOn w:val="Index"/>
    <w:pPr>
      <w:tabs>
        <w:tab w:val="clear" w:pos="720"/>
        <w:tab w:val="right" w:pos="8793" w:leader="dot"/>
      </w:tabs>
      <w:ind w:hanging="0" w:left="567"/>
    </w:pPr>
    <w:rPr/>
  </w:style>
  <w:style w:type="table" w:default="1" w:styleId="Table">
    <w:name w:val="Table"/>
    <w:basedOn w:val="TableNormal"/>
    <w:semiHidden/>
    <w:unhideWhenUsed/>
    <w:qFormat/>
    <w:tblPr>
      <w:tblCellMar>
        <w:top w:w="0" w:type="dxa"/>
        <w:left w:w="108" w:type="dxa"/>
        <w:bottom w:w="0" w:type="dxa"/>
        <w:right w:w="108" w:type="dxa"/>
      </w:tblCellMar>
    </w:tblPr>
    <w:tblStylePr w:type="firstRow">
      <w:tblPr/>
      <w:tcPr>
        <w:tcBorders>
          <w:bottom w:val="single"/>
        </w:tcBorders>
        <w:vAlign w:val="bottom"/>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docs.paperless-ngx.com/" TargetMode="External"/><Relationship Id="rId3" Type="http://schemas.openxmlformats.org/officeDocument/2006/relationships/hyperlink" Target="https://blog.ralf-peter-kleinert.de/allgemein/paperless-ngx-vs-ecodms-ein-vergleich/" TargetMode="External"/><Relationship Id="rId4" Type="http://schemas.openxmlformats.org/officeDocument/2006/relationships/hyperlink" Target="https://sevdesk.de/buchhaltungssoftware-kleinunternehmer/" TargetMode="External"/><Relationship Id="rId5" Type="http://schemas.openxmlformats.org/officeDocument/2006/relationships/hyperlink" Target="https://steuerberater-tabak.com/datev-unternehmen-online/" TargetMode="External"/><Relationship Id="rId6" Type="http://schemas.openxmlformats.org/officeDocument/2006/relationships/hyperlink" Target="https://deep-research.leon.fm/" TargetMode="Externa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oter" Target="footer3.xml"/><Relationship Id="rId10" Type="http://schemas.openxmlformats.org/officeDocument/2006/relationships/footnotes" Target="footnotes.xm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
</Relationships>
</file>

<file path=word/_rels/footnotes.xml.rels><?xml version="1.0" encoding="UTF-8"?>
<Relationships xmlns="http://schemas.openxmlformats.org/package/2006/relationships"><Relationship Id="rId1" Type="http://schemas.openxmlformats.org/officeDocument/2006/relationships/hyperlink" Target="https://www.buero-kaizen.de/ordnerstruktur/" TargetMode="External"/><Relationship Id="rId2" Type="http://schemas.openxmlformats.org/officeDocument/2006/relationships/hyperlink" Target="https://www.haufe.de/finance/buchfuehrung-kontierung/aufbewahrungsfristen-welche-unterlagen-vernichtet-werden-koennen_186_432446.html" TargetMode="External"/><Relationship Id="rId3" Type="http://schemas.openxmlformats.org/officeDocument/2006/relationships/hyperlink" Target="https://www.bundesfinanzministerium.de/Content/DE/FAQ/e-rechnung.html" TargetMode="External"/><Relationship Id="rId4" Type="http://schemas.openxmlformats.org/officeDocument/2006/relationships/hyperlink" Target="https://blog.cloudflare.com/markdown-for-agents/" TargetMode="External"/><Relationship Id="rId5" Type="http://schemas.openxmlformats.org/officeDocument/2006/relationships/hyperlink" Target="https://blog.trysteakhouse.com/blog/front-matter-standard-using-yaml-metadata-programmatically-control-crawler-behavior" TargetMode="External"/><Relationship Id="rId6" Type="http://schemas.openxmlformats.org/officeDocument/2006/relationships/hyperlink" Target="https://www.linuxfoundation.org/press/linux-foundation-announces-the-formation-of-the-agentic-ai-foundation" TargetMode="External"/><Relationship Id="rId7" Type="http://schemas.openxmlformats.org/officeDocument/2006/relationships/hyperlink" Target="https://www.datev.de/web/de/steuerberatung/wissen-weiterbildung/themen-im-fokus/schnittstellen" TargetMode="External"/><Relationship Id="rId8" Type="http://schemas.openxmlformats.org/officeDocument/2006/relationships/hyperlink" Target="https://github.com/lippoliv/paperlessngx-to-sevdesk" TargetMode="External"/><Relationship Id="rId9" Type="http://schemas.openxmlformats.org/officeDocument/2006/relationships/hyperlink" Target="https://www.sekretaria.de/bueroorganisation/organisation/ablage/7-ordner-system/" TargetMode="External"/><Relationship Id="rId10" Type="http://schemas.openxmlformats.org/officeDocument/2006/relationships/hyperlink" Target="https://www.pixx.io/blog/digitale-ordnerstruktur" TargetMode="External"/><Relationship Id="rId11" Type="http://schemas.openxmlformats.org/officeDocument/2006/relationships/hyperlink" Target="https://blog.orgamax.de/unternehmer-news/die-perfekte-ordnerstruktur-f&#252;r-ihr-unternehmen-das-7-ordner-system" TargetMode="External"/><Relationship Id="rId12" Type="http://schemas.openxmlformats.org/officeDocument/2006/relationships/hyperlink" Target="https://johnnydecimal.com/10-19-concepts/15-patterns-templates/15.04-small-business-system/" TargetMode="External"/><Relationship Id="rId13" Type="http://schemas.openxmlformats.org/officeDocument/2006/relationships/hyperlink" Target="https://johnnydecimal.com/10-19-concepts/15-patterns-templates/15.04-small-business-system/" TargetMode="External"/><Relationship Id="rId14" Type="http://schemas.openxmlformats.org/officeDocument/2006/relationships/hyperlink" Target="https://constantinluegering.de/en/johnny-decimal-is-a-great-guy-but-we-are-not-best-friends/" TargetMode="External"/><Relationship Id="rId15" Type="http://schemas.openxmlformats.org/officeDocument/2006/relationships/hyperlink" Target="https://clickup.com/blog/para-method/" TargetMode="External"/><Relationship Id="rId16" Type="http://schemas.openxmlformats.org/officeDocument/2006/relationships/hyperlink" Target="https://lucaf.eu/2023/02/23/luca-decimal.html" TargetMode="External"/><Relationship Id="rId17" Type="http://schemas.openxmlformats.org/officeDocument/2006/relationships/hyperlink" Target="https://mattgiaro.com/para-method-alternatives/" TargetMode="External"/><Relationship Id="rId18" Type="http://schemas.openxmlformats.org/officeDocument/2006/relationships/hyperlink" Target="https://www.tmt-beratung.de/para-und-getting-things-done/" TargetMode="External"/><Relationship Id="rId19" Type="http://schemas.openxmlformats.org/officeDocument/2006/relationships/hyperlink" Target="https://dust.tt/blog/how-we-taught-ai-agents-to-navigate-company-data-like-a-filesystem" TargetMode="External"/><Relationship Id="rId20" Type="http://schemas.openxmlformats.org/officeDocument/2006/relationships/hyperlink" Target="https://www.haufe.de/finance/buchfuehrung-kontierung/aufbewahrungsfristen-welche-unterlagen-vernichtet-werden-koennen_186_432446.html" TargetMode="External"/><Relationship Id="rId21" Type="http://schemas.openxmlformats.org/officeDocument/2006/relationships/hyperlink" Target="https://ecovis-kso.com/blog/aufbewahrungsfristen-2025-archivierungspflicht-fuer-geschaeftsunterlagen/" TargetMode="External"/><Relationship Id="rId22" Type="http://schemas.openxmlformats.org/officeDocument/2006/relationships/hyperlink" Target="https://www.farbe.de/aktuell/nachricht/artikel-1/aufbewahrungsfristen-gelten-acht-oder-zehn-jahre-in-unternehmen" TargetMode="External"/><Relationship Id="rId23" Type="http://schemas.openxmlformats.org/officeDocument/2006/relationships/hyperlink" Target="https://www.bundesfinanzministerium.de/Content/DE/FAQ/e-rechnung.html" TargetMode="External"/><Relationship Id="rId24" Type="http://schemas.openxmlformats.org/officeDocument/2006/relationships/hyperlink" Target="https://www.frankfurt-main.ihk.de/recht/uebersicht-alle-rechtsthemen/steuerrecht/umsatzsteuer-national/e-rechnungspflicht-ab-2025-6055774" TargetMode="External"/><Relationship Id="rId25" Type="http://schemas.openxmlformats.org/officeDocument/2006/relationships/hyperlink" Target="https://www.ihk.de/darmstadt/produktmarken/recht-und-fair-play/steuerinfo/bmf-plant-verpflichtende-erechnung-und-meldesystem-5784882" TargetMode="External"/><Relationship Id="rId26" Type="http://schemas.openxmlformats.org/officeDocument/2006/relationships/hyperlink" Target="https://www.lexware.de/wissen/buchhaltung-finanzen/verfahrensdokumentation/" TargetMode="External"/><Relationship Id="rId27" Type="http://schemas.openxmlformats.org/officeDocument/2006/relationships/hyperlink" Target="https://www.dokutar.de/blog/verfahrensdokumentation-fuer-kleinunternehmen/" TargetMode="External"/><Relationship Id="rId28" Type="http://schemas.openxmlformats.org/officeDocument/2006/relationships/hyperlink" Target="https://hackernoon.com/why-are-the-new-ai-agents-choosing-markdown-over-html" TargetMode="External"/><Relationship Id="rId29" Type="http://schemas.openxmlformats.org/officeDocument/2006/relationships/hyperlink" Target="https://blog.cloudflare.com/markdown-for-agents/" TargetMode="External"/><Relationship Id="rId30" Type="http://schemas.openxmlformats.org/officeDocument/2006/relationships/hyperlink" Target="https://www.techsistence.com/p/plain-text-is-what-you-need-but-why" TargetMode="External"/><Relationship Id="rId31" Type="http://schemas.openxmlformats.org/officeDocument/2006/relationships/hyperlink" Target="https://blog.trysteakhouse.com/blog/front-matter-standard-using-yaml-metadata-programmatically-control-crawler-behavior" TargetMode="External"/><Relationship Id="rId32" Type="http://schemas.openxmlformats.org/officeDocument/2006/relationships/hyperlink" Target="https://platform.claude.com/docs/en/agents-and-tools/agent-skills/overview" TargetMode="External"/><Relationship Id="rId33" Type="http://schemas.openxmlformats.org/officeDocument/2006/relationships/hyperlink" Target="https://agents.md/" TargetMode="External"/><Relationship Id="rId34" Type="http://schemas.openxmlformats.org/officeDocument/2006/relationships/hyperlink" Target="https://www.linuxfoundation.org/press/linux-foundation-announces-the-formation-of-the-agentic-ai-foundation" TargetMode="External"/><Relationship Id="rId35" Type="http://schemas.openxmlformats.org/officeDocument/2006/relationships/hyperlink" Target="https://www.infoq.com/news/2026/03/agents-context-file-value-review/" TargetMode="External"/><Relationship Id="rId36" Type="http://schemas.openxmlformats.org/officeDocument/2006/relationships/hyperlink" Target="https://arxiv.org/html/2601.20404" TargetMode="External"/><Relationship Id="rId37" Type="http://schemas.openxmlformats.org/officeDocument/2006/relationships/hyperlink" Target="https://www.kosli.com/blog/using-git-for-a-compliance-audit-trail/" TargetMode="External"/><Relationship Id="rId38" Type="http://schemas.openxmlformats.org/officeDocument/2006/relationships/hyperlink" Target="https://www.graphlit.com/blog/file-search-vs-rag" TargetMode="External"/><Relationship Id="rId39" Type="http://schemas.openxmlformats.org/officeDocument/2006/relationships/hyperlink" Target="https://datamanagement.hms.harvard.edu/plan-design/file-naming-conventions" TargetMode="External"/><Relationship Id="rId40" Type="http://schemas.openxmlformats.org/officeDocument/2006/relationships/hyperlink" Target="https://www.docuneers.de/dateinamen-konvention-05-tipps-die-ordnung-ins-datenchaos-bringen/" TargetMode="External"/><Relationship Id="rId41" Type="http://schemas.openxmlformats.org/officeDocument/2006/relationships/hyperlink" Target="https://andersgood.de/kurz-notiert/paperless-ngx-gobd-konform-nutzen" TargetMode="External"/><Relationship Id="rId42" Type="http://schemas.openxmlformats.org/officeDocument/2006/relationships/hyperlink" Target="https://www.ecmguide.de/dms/uebersicht-zu-dms-loesungen-fuer-selbststaendige-und-kleinbetriebe-25069/" TargetMode="External"/><Relationship Id="rId43" Type="http://schemas.openxmlformats.org/officeDocument/2006/relationships/hyperlink" Target="https://andersgood.de/kurz-notiert/paperless-ngx-gobd-konform-nutzen" TargetMode="External"/><Relationship Id="rId44" Type="http://schemas.openxmlformats.org/officeDocument/2006/relationships/hyperlink" Target="https://github.com/lippoliv/paperlessngx-to-sevdesk" TargetMode="External"/><Relationship Id="rId45" Type="http://schemas.openxmlformats.org/officeDocument/2006/relationships/hyperlink" Target="https://ocrmypdf.readthedocs.io/en/latest/introduction.html" TargetMode="Externa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pitchFamily="0" charset="1"/>
        <a:ea typeface=""/>
        <a:cs typeface=""/>
      </a:majorFont>
      <a:minorFont>
        <a:latin typeface="Aptos" panose="0211000402020202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6</TotalTime>
  <Application>LibreOffice/26.2.2.2$MacOSX_AARCH64 LibreOffice_project/1f77d10d6938fd34972958f64b2bcfa54f8b1ba5</Application>
  <AppVersion>15.0000</AppVersion>
  <Pages>4</Pages>
  <Words>612</Words>
  <Characters>4669</Characters>
  <CharactersWithSpaces>5219</CharactersWithSpaces>
  <Paragraphs>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2026-04-03T10:01:59Z</dcterms:created>
  <dc:creator>Deep Researcher (deep-research.leon.fm)</dc:creator>
  <dc:description/>
  <dc:language>en-US</dc:language>
  <cp:lastModifiedBy/>
  <dcterms:modified xsi:type="dcterms:W3CDTF">2026-04-03T12:02:06Z</dcterms:modified>
  <cp:revision>1</cp:revision>
  <dc:subject/>
  <dc:title>Dateiorganisation für Kleinunternehmen: Mensch- und KI-freundliche Strategien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vt:lpwstr>2026-04-01</vt:lpwstr>
  </property>
  <property fmtid="{D5CDD505-2E9C-101B-9397-08002B2CF9AE}" pid="3" name="depth">
    <vt:lpwstr>Deep</vt:lpwstr>
  </property>
  <property fmtid="{D5CDD505-2E9C-101B-9397-08002B2CF9AE}" pid="4" name="sources">
    <vt:lpwstr>20</vt:lpwstr>
  </property>
</Properties>
</file>