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EU AI Act: Was KMU jetzt wissen müssen</w:t>
      </w:r>
    </w:p>
    <w:p>
      <w:pPr>
        <w:pStyle w:val="Author"/>
        <w:rPr/>
      </w:pPr>
      <w:r>
        <w:rPr/>
        <w:t>Deep Researcher (deep-research.leon.fm)</w:t>
      </w:r>
    </w:p>
    <w:p>
      <w:pPr>
        <w:pStyle w:val="Date"/>
        <w:rPr/>
      </w:pPr>
      <w:r>
        <w:rPr/>
        <w:t>2026-04-01</w:t>
      </w:r>
    </w:p>
    <w:sdt>
      <w:sdtPr>
        <w:docPartObj>
          <w:docPartGallery w:val="Table of Contents"/>
          <w:docPartUnique w:val="true"/>
        </w:docPartObj>
      </w:sdtPr>
      <w:sdtContent>
        <w:p>
          <w:pPr>
            <w:pStyle w:val="TOCHeading"/>
            <w:rPr/>
          </w:pPr>
          <w:r>
            <w:rPr/>
            <w:t>Table of Contents</w:t>
          </w:r>
        </w:p>
        <w:p>
          <w:pPr>
            <w:pStyle w:val="TOC1"/>
            <w:tabs>
              <w:tab w:val="clear" w:pos="9360"/>
              <w:tab w:val="right" w:pos="9359" w:leader="dot"/>
            </w:tabs>
            <w:rPr/>
          </w:pPr>
          <w:r>
            <w:fldChar w:fldCharType="begin"/>
          </w:r>
          <w:r>
            <w:rPr>
              <w:rStyle w:val="IndexLink"/>
              <w:webHidden/>
            </w:rPr>
            <w:instrText xml:space="preserve"> TOC \z \o "1-3" \u \h</w:instrText>
          </w:r>
          <w:r>
            <w:rPr>
              <w:rStyle w:val="IndexLink"/>
              <w:webHidden/>
            </w:rPr>
            <w:fldChar w:fldCharType="separate"/>
          </w:r>
          <w:hyperlink w:anchor="__RefHeading___Toc1276_632260411" w:tooltip="EU AI Act: Was KMU jetzt wissen müssen">
            <w:r>
              <w:rPr>
                <w:rStyle w:val="IndexLink"/>
                <w:webHidden/>
              </w:rPr>
              <w:t>EU AI Act: Was KMU jetzt wissen müssen</w:t>
              <w:tab/>
              <w:t>2</w:t>
            </w:r>
          </w:hyperlink>
        </w:p>
        <w:p>
          <w:pPr>
            <w:pStyle w:val="TOC2"/>
            <w:tabs>
              <w:tab w:val="clear" w:pos="9077"/>
              <w:tab w:val="right" w:pos="9359" w:leader="dot"/>
            </w:tabs>
            <w:rPr/>
          </w:pPr>
          <w:hyperlink w:anchor="__RefHeading___Toc1278_632260411" w:tooltip="Kernaussagen">
            <w:r>
              <w:rPr>
                <w:rStyle w:val="IndexLink"/>
                <w:webHidden/>
              </w:rPr>
              <w:t>Kernaussagen</w:t>
              <w:tab/>
              <w:t>2</w:t>
            </w:r>
          </w:hyperlink>
        </w:p>
        <w:p>
          <w:pPr>
            <w:pStyle w:val="TOC2"/>
            <w:tabs>
              <w:tab w:val="clear" w:pos="9077"/>
              <w:tab w:val="right" w:pos="9359" w:leader="dot"/>
            </w:tabs>
            <w:rPr/>
          </w:pPr>
          <w:hyperlink w:anchor="__RefHeading___Toc1280_632260411" w:tooltip="Der EU AI Act im Überblick">
            <w:r>
              <w:rPr>
                <w:rStyle w:val="IndexLink"/>
                <w:webHidden/>
              </w:rPr>
              <w:t>Der EU AI Act im Überblick</w:t>
              <w:tab/>
              <w:t>2</w:t>
            </w:r>
          </w:hyperlink>
        </w:p>
        <w:p>
          <w:pPr>
            <w:pStyle w:val="TOC3"/>
            <w:tabs>
              <w:tab w:val="clear" w:pos="8793"/>
              <w:tab w:val="right" w:pos="9359" w:leader="dot"/>
            </w:tabs>
            <w:rPr/>
          </w:pPr>
          <w:hyperlink w:anchor="__RefHeading___Toc1282_632260411" w:tooltip="Was ist die KI-Verordnung?">
            <w:r>
              <w:rPr>
                <w:rStyle w:val="IndexLink"/>
                <w:webHidden/>
              </w:rPr>
              <w:t>Was ist die KI-Verordnung?</w:t>
              <w:tab/>
              <w:t>2</w:t>
            </w:r>
          </w:hyperlink>
        </w:p>
        <w:p>
          <w:pPr>
            <w:pStyle w:val="TOC3"/>
            <w:tabs>
              <w:tab w:val="clear" w:pos="8793"/>
              <w:tab w:val="right" w:pos="9359" w:leader="dot"/>
            </w:tabs>
            <w:rPr/>
          </w:pPr>
          <w:hyperlink w:anchor="__RefHeading___Toc1284_632260411" w:tooltip="Stufenweise Durchsetzung">
            <w:r>
              <w:rPr>
                <w:rStyle w:val="IndexLink"/>
                <w:webHidden/>
              </w:rPr>
              <w:t>Stufenweise Durchsetzung</w:t>
              <w:tab/>
              <w:t>3</w:t>
            </w:r>
          </w:hyperlink>
        </w:p>
        <w:p>
          <w:pPr>
            <w:pStyle w:val="TOC3"/>
            <w:tabs>
              <w:tab w:val="clear" w:pos="8793"/>
              <w:tab w:val="right" w:pos="9359" w:leader="dot"/>
            </w:tabs>
            <w:rPr/>
          </w:pPr>
          <w:hyperlink w:anchor="__RefHeading___Toc1286_632260411" w:tooltip="Vier Risikokategorien">
            <w:r>
              <w:rPr>
                <w:rStyle w:val="IndexLink"/>
                <w:webHidden/>
              </w:rPr>
              <w:t>Vier Risikokategorien</w:t>
              <w:tab/>
              <w:t>3</w:t>
            </w:r>
          </w:hyperlink>
        </w:p>
        <w:p>
          <w:pPr>
            <w:pStyle w:val="TOC3"/>
            <w:tabs>
              <w:tab w:val="clear" w:pos="8793"/>
              <w:tab w:val="right" w:pos="9359" w:leader="dot"/>
            </w:tabs>
            <w:rPr/>
          </w:pPr>
          <w:hyperlink w:anchor="__RefHeading___Toc1288_632260411" w:tooltip="Wer ist betroffen?">
            <w:r>
              <w:rPr>
                <w:rStyle w:val="IndexLink"/>
                <w:webHidden/>
              </w:rPr>
              <w:t>Wer ist betroffen?</w:t>
              <w:tab/>
              <w:t>4</w:t>
            </w:r>
          </w:hyperlink>
        </w:p>
        <w:p>
          <w:pPr>
            <w:pStyle w:val="TOC2"/>
            <w:tabs>
              <w:tab w:val="clear" w:pos="9077"/>
              <w:tab w:val="right" w:pos="9359" w:leader="dot"/>
            </w:tabs>
            <w:rPr/>
          </w:pPr>
          <w:hyperlink w:anchor="__RefHeading___Toc1290_632260411" w:tooltip="Was bedeutet das für KMU?">
            <w:r>
              <w:rPr>
                <w:rStyle w:val="IndexLink"/>
                <w:webHidden/>
              </w:rPr>
              <w:t>Was bedeutet das für KMU?</w:t>
              <w:tab/>
              <w:t>4</w:t>
            </w:r>
          </w:hyperlink>
        </w:p>
        <w:p>
          <w:pPr>
            <w:pStyle w:val="TOC3"/>
            <w:tabs>
              <w:tab w:val="clear" w:pos="8793"/>
              <w:tab w:val="right" w:pos="9359" w:leader="dot"/>
            </w:tabs>
            <w:rPr/>
          </w:pPr>
          <w:hyperlink w:anchor="__RefHeading___Toc1292_632260411" w:tooltip="Keine pauschale Befreiung">
            <w:r>
              <w:rPr>
                <w:rStyle w:val="IndexLink"/>
                <w:webHidden/>
              </w:rPr>
              <w:t>Keine pauschale Befreiung</w:t>
              <w:tab/>
              <w:t>4</w:t>
            </w:r>
          </w:hyperlink>
        </w:p>
        <w:p>
          <w:pPr>
            <w:pStyle w:val="TOC3"/>
            <w:tabs>
              <w:tab w:val="clear" w:pos="8793"/>
              <w:tab w:val="right" w:pos="9359" w:leader="dot"/>
            </w:tabs>
            <w:rPr/>
          </w:pPr>
          <w:hyperlink w:anchor="__RefHeading___Toc1294_632260411" w:tooltip="Anbieter oder Betreiber? Die entscheidende Frage">
            <w:r>
              <w:rPr>
                <w:rStyle w:val="IndexLink"/>
                <w:webHidden/>
              </w:rPr>
              <w:t>Anbieter oder Betreiber? Die entscheidende Frage</w:t>
              <w:tab/>
              <w:t>5</w:t>
            </w:r>
          </w:hyperlink>
        </w:p>
        <w:p>
          <w:pPr>
            <w:pStyle w:val="TOC3"/>
            <w:tabs>
              <w:tab w:val="clear" w:pos="8793"/>
              <w:tab w:val="right" w:pos="9359" w:leader="dot"/>
            </w:tabs>
            <w:rPr/>
          </w:pPr>
          <w:hyperlink w:anchor="__RefHeading___Toc1296_632260411" w:tooltip="KMU-spezifische Erleichterungen">
            <w:r>
              <w:rPr>
                <w:rStyle w:val="IndexLink"/>
                <w:webHidden/>
              </w:rPr>
              <w:t>KMU-spezifische Erleichterungen</w:t>
              <w:tab/>
              <w:t>5</w:t>
            </w:r>
          </w:hyperlink>
        </w:p>
        <w:p>
          <w:pPr>
            <w:pStyle w:val="TOC3"/>
            <w:tabs>
              <w:tab w:val="clear" w:pos="8793"/>
              <w:tab w:val="right" w:pos="9359" w:leader="dot"/>
            </w:tabs>
            <w:rPr/>
          </w:pPr>
          <w:hyperlink w:anchor="__RefHeading___Toc1298_632260411" w:tooltip="Open-Source-KI: Was gilt für KMU?">
            <w:r>
              <w:rPr>
                <w:rStyle w:val="IndexLink"/>
                <w:webHidden/>
              </w:rPr>
              <w:t>Open-Source-KI: Was gilt für KMU?</w:t>
              <w:tab/>
              <w:t>6</w:t>
            </w:r>
          </w:hyperlink>
        </w:p>
        <w:p>
          <w:pPr>
            <w:pStyle w:val="TOC2"/>
            <w:tabs>
              <w:tab w:val="clear" w:pos="9077"/>
              <w:tab w:val="right" w:pos="9359" w:leader="dot"/>
            </w:tabs>
            <w:rPr/>
          </w:pPr>
          <w:hyperlink w:anchor="__RefHeading___Toc1300_632260411" w:tooltip="Praktische Schritte zur Compliance">
            <w:r>
              <w:rPr>
                <w:rStyle w:val="IndexLink"/>
                <w:webHidden/>
              </w:rPr>
              <w:t>Praktische Schritte zur Compliance</w:t>
              <w:tab/>
              <w:t>6</w:t>
            </w:r>
          </w:hyperlink>
        </w:p>
        <w:p>
          <w:pPr>
            <w:pStyle w:val="TOC3"/>
            <w:tabs>
              <w:tab w:val="clear" w:pos="8793"/>
              <w:tab w:val="right" w:pos="9359" w:leader="dot"/>
            </w:tabs>
            <w:rPr/>
          </w:pPr>
          <w:hyperlink w:anchor="__RefHeading___Toc1302_632260411" w:tooltip="1. KI-Kompetenz sicherstellen (gilt seit Februar 2025)">
            <w:r>
              <w:rPr>
                <w:rStyle w:val="IndexLink"/>
                <w:webHidden/>
              </w:rPr>
              <w:t>1. KI-Kompetenz sicherstellen (gilt seit Februar 2025)</w:t>
              <w:tab/>
              <w:t>6</w:t>
            </w:r>
          </w:hyperlink>
        </w:p>
        <w:p>
          <w:pPr>
            <w:pStyle w:val="TOC3"/>
            <w:tabs>
              <w:tab w:val="clear" w:pos="8793"/>
              <w:tab w:val="right" w:pos="9359" w:leader="dot"/>
            </w:tabs>
            <w:rPr/>
          </w:pPr>
          <w:hyperlink w:anchor="__RefHeading___Toc1304_632260411" w:tooltip="2. KI-Inventur durchführen">
            <w:r>
              <w:rPr>
                <w:rStyle w:val="IndexLink"/>
                <w:webHidden/>
              </w:rPr>
              <w:t>2. KI-Inventur durchführen</w:t>
              <w:tab/>
              <w:t>7</w:t>
            </w:r>
          </w:hyperlink>
        </w:p>
        <w:p>
          <w:pPr>
            <w:pStyle w:val="TOC3"/>
            <w:tabs>
              <w:tab w:val="clear" w:pos="8793"/>
              <w:tab w:val="right" w:pos="9359" w:leader="dot"/>
            </w:tabs>
            <w:rPr/>
          </w:pPr>
          <w:hyperlink w:anchor="__RefHeading___Toc1306_632260411" w:tooltip="3. Risikoklassifizierung und Rollenbestimmung">
            <w:r>
              <w:rPr>
                <w:rStyle w:val="IndexLink"/>
                <w:webHidden/>
              </w:rPr>
              <w:t>3. Risikoklassifizierung und Rollenbestimmung</w:t>
              <w:tab/>
              <w:t>7</w:t>
            </w:r>
          </w:hyperlink>
        </w:p>
        <w:p>
          <w:pPr>
            <w:pStyle w:val="TOC3"/>
            <w:tabs>
              <w:tab w:val="clear" w:pos="8793"/>
              <w:tab w:val="right" w:pos="9359" w:leader="dot"/>
            </w:tabs>
            <w:rPr/>
          </w:pPr>
          <w:hyperlink w:anchor="__RefHeading___Toc1308_632260411" w:tooltip="4. Governance und Dokumentation aufbauen">
            <w:r>
              <w:rPr>
                <w:rStyle w:val="IndexLink"/>
                <w:webHidden/>
              </w:rPr>
              <w:t>4. Governance und Dokumentation aufbauen</w:t>
              <w:tab/>
              <w:t>7</w:t>
            </w:r>
          </w:hyperlink>
        </w:p>
        <w:p>
          <w:pPr>
            <w:pStyle w:val="TOC3"/>
            <w:tabs>
              <w:tab w:val="clear" w:pos="8793"/>
              <w:tab w:val="right" w:pos="9359" w:leader="dot"/>
            </w:tabs>
            <w:rPr/>
          </w:pPr>
          <w:hyperlink w:anchor="__RefHeading___Toc1310_632260411" w:tooltip="Empfohlene Roadmap für KMU">
            <w:r>
              <w:rPr>
                <w:rStyle w:val="IndexLink"/>
                <w:webHidden/>
              </w:rPr>
              <w:t>Empfohlene Roadmap für KMU</w:t>
              <w:tab/>
              <w:t>7</w:t>
            </w:r>
          </w:hyperlink>
        </w:p>
        <w:p>
          <w:pPr>
            <w:pStyle w:val="TOC2"/>
            <w:tabs>
              <w:tab w:val="clear" w:pos="9077"/>
              <w:tab w:val="right" w:pos="9359" w:leader="dot"/>
            </w:tabs>
            <w:rPr/>
          </w:pPr>
          <w:hyperlink w:anchor="__RefHeading___Toc1312_632260411" w:tooltip="Kosten und Konsequenzen">
            <w:r>
              <w:rPr>
                <w:rStyle w:val="IndexLink"/>
                <w:webHidden/>
              </w:rPr>
              <w:t>Kosten und Konsequenzen</w:t>
              <w:tab/>
              <w:t>8</w:t>
            </w:r>
          </w:hyperlink>
        </w:p>
        <w:p>
          <w:pPr>
            <w:pStyle w:val="TOC3"/>
            <w:tabs>
              <w:tab w:val="clear" w:pos="8793"/>
              <w:tab w:val="right" w:pos="9359" w:leader="dot"/>
            </w:tabs>
            <w:rPr/>
          </w:pPr>
          <w:hyperlink w:anchor="__RefHeading___Toc1314_632260411" w:tooltip="Bußgelder: Dreistufiges System mit KMU-Schutzklausel">
            <w:r>
              <w:rPr>
                <w:rStyle w:val="IndexLink"/>
                <w:webHidden/>
              </w:rPr>
              <w:t>Bußgelder: Dreistufiges System mit KMU-Schutzklausel</w:t>
              <w:tab/>
              <w:t>8</w:t>
            </w:r>
          </w:hyperlink>
        </w:p>
        <w:p>
          <w:pPr>
            <w:pStyle w:val="TOC3"/>
            <w:tabs>
              <w:tab w:val="clear" w:pos="8793"/>
              <w:tab w:val="right" w:pos="9359" w:leader="dot"/>
            </w:tabs>
            <w:rPr/>
          </w:pPr>
          <w:hyperlink w:anchor="__RefHeading___Toc1316_632260411" w:tooltip="Geschätzte Compliance-Kosten">
            <w:r>
              <w:rPr>
                <w:rStyle w:val="IndexLink"/>
                <w:webHidden/>
              </w:rPr>
              <w:t>Geschätzte Compliance-Kosten</w:t>
              <w:tab/>
              <w:t>8</w:t>
            </w:r>
          </w:hyperlink>
        </w:p>
        <w:p>
          <w:pPr>
            <w:pStyle w:val="TOC3"/>
            <w:tabs>
              <w:tab w:val="clear" w:pos="8793"/>
              <w:tab w:val="right" w:pos="9359" w:leader="dot"/>
            </w:tabs>
            <w:rPr/>
          </w:pPr>
          <w:hyperlink w:anchor="__RefHeading___Toc1318_632260411" w:tooltip="Fördermöglichkeiten">
            <w:r>
              <w:rPr>
                <w:rStyle w:val="IndexLink"/>
                <w:webHidden/>
              </w:rPr>
              <w:t>Fördermöglichkeiten</w:t>
              <w:tab/>
              <w:t>9</w:t>
            </w:r>
          </w:hyperlink>
        </w:p>
        <w:p>
          <w:pPr>
            <w:pStyle w:val="TOC2"/>
            <w:tabs>
              <w:tab w:val="clear" w:pos="9077"/>
              <w:tab w:val="right" w:pos="9359" w:leader="dot"/>
            </w:tabs>
            <w:rPr/>
          </w:pPr>
          <w:hyperlink w:anchor="__RefHeading___Toc1320_632260411" w:tooltip="Offene Fragen und Ausblick">
            <w:r>
              <w:rPr>
                <w:rStyle w:val="IndexLink"/>
                <w:webHidden/>
              </w:rPr>
              <w:t>Offene Fragen und Ausblick</w:t>
              <w:tab/>
              <w:t>9</w:t>
            </w:r>
          </w:hyperlink>
          <w:r>
            <w:rPr>
              <w:rStyle w:val="IndexLink"/>
            </w:rPr>
            <w:fldChar w:fldCharType="end"/>
          </w:r>
        </w:p>
      </w:sdtContent>
    </w:sdt>
    <w:p>
      <w:pPr>
        <w:pStyle w:val="Heading1"/>
        <w:rPr/>
      </w:pPr>
      <w:bookmarkStart w:id="0" w:name="__RefHeading___Toc1276_632260411"/>
      <w:bookmarkStart w:id="1" w:name="eu-ai-act-was-kmu-jetzt-wissen-müssen"/>
      <w:bookmarkEnd w:id="0"/>
      <w:r>
        <w:rPr/>
        <w:t>EU AI Act: Was KMU jetzt wissen müssen</w:t>
      </w:r>
    </w:p>
    <w:p>
      <w:pPr>
        <w:pStyle w:val="Heading2"/>
        <w:rPr/>
      </w:pPr>
      <w:bookmarkStart w:id="2" w:name="__RefHeading___Toc1278_632260411"/>
      <w:bookmarkStart w:id="3" w:name="kernaussagen"/>
      <w:bookmarkEnd w:id="2"/>
      <w:r>
        <w:rPr/>
        <w:t>Kernaussagen</w:t>
      </w:r>
    </w:p>
    <w:p>
      <w:pPr>
        <w:pStyle w:val="Compact"/>
        <w:numPr>
          <w:ilvl w:val="0"/>
          <w:numId w:val="1"/>
        </w:numPr>
        <w:rPr/>
      </w:pPr>
      <w:r>
        <w:rPr/>
        <w:t>Die KI-Verordnung (EU) 2024/1689</w:t>
      </w:r>
      <w:r>
        <w:rPr>
          <w:rStyle w:val="FootnoteReference"/>
        </w:rPr>
        <w:footnoteReference w:id="2"/>
      </w:r>
      <w:r>
        <w:rPr/>
        <w:t xml:space="preserve"> gilt seit 1. August 2024 und wird stufenweise durchgesetzt — die </w:t>
      </w:r>
      <w:r>
        <w:rPr>
          <w:b/>
          <w:bCs/>
        </w:rPr>
        <w:t>KI-Kompetenzpflicht gilt bereits seit Februar 2025</w:t>
      </w:r>
      <w:r>
        <w:rPr/>
        <w:t>, auch für KMU, die KI nur einsetzen.</w:t>
      </w:r>
    </w:p>
    <w:p>
      <w:pPr>
        <w:pStyle w:val="Compact"/>
        <w:numPr>
          <w:ilvl w:val="0"/>
          <w:numId w:val="1"/>
        </w:numPr>
        <w:rPr/>
      </w:pPr>
      <w:r>
        <w:rPr/>
        <w:t xml:space="preserve">Es gibt </w:t>
      </w:r>
      <w:r>
        <w:rPr>
          <w:b/>
          <w:bCs/>
        </w:rPr>
        <w:t>keine pauschale Befreiung</w:t>
      </w:r>
      <w:r>
        <w:rPr/>
        <w:t xml:space="preserve"> für kleine Unternehmen. Entscheidend ist die Risikoklasse des KI-Systems, nicht die Unternehmensgröße. Allerdings profitieren KMU von reduzierten Bußgeldern, vereinfachter Dokumentation und kostenlosem Sandbox-Zugang</w:t>
      </w:r>
      <w:r>
        <w:rPr>
          <w:rStyle w:val="FootnoteReference"/>
        </w:rPr>
        <w:footnoteReference w:id="3"/>
      </w:r>
      <w:r>
        <w:rPr/>
        <w:t>.</w:t>
      </w:r>
    </w:p>
    <w:p>
      <w:pPr>
        <w:pStyle w:val="Compact"/>
        <w:numPr>
          <w:ilvl w:val="0"/>
          <w:numId w:val="1"/>
        </w:numPr>
        <w:rPr/>
      </w:pPr>
      <w:r>
        <w:rPr/>
        <w:t>Der Digital Omnibus</w:t>
      </w:r>
      <w:r>
        <w:rPr>
          <w:rStyle w:val="FootnoteReference"/>
        </w:rPr>
        <w:footnoteReference w:id="4"/>
      </w:r>
      <w:r>
        <w:rPr/>
        <w:t xml:space="preserve"> verschiebt die Hochrisiko-Fristen auf Dezember 2027 bzw. August 2028 — aber die bereits geltenden Pflichten bleiben unverändert.</w:t>
      </w:r>
    </w:p>
    <w:p>
      <w:pPr>
        <w:pStyle w:val="Compact"/>
        <w:numPr>
          <w:ilvl w:val="0"/>
          <w:numId w:val="1"/>
        </w:numPr>
        <w:rPr/>
      </w:pPr>
      <w:r>
        <w:rPr/>
        <w:t>Geschätzte Compliance-Kosten für KMU-Anbieter von Hochrisiko-KI liegen bei 200.000–300.000 EUR</w:t>
      </w:r>
      <w:r>
        <w:rPr>
          <w:rStyle w:val="FootnoteReference"/>
        </w:rPr>
        <w:footnoteReference w:id="5"/>
      </w:r>
      <w:r>
        <w:rPr/>
        <w:t>, doch EU- und nationale Förderprogramme können diese erheblich senken.</w:t>
      </w:r>
    </w:p>
    <w:p>
      <w:pPr>
        <w:pStyle w:val="Compact"/>
        <w:numPr>
          <w:ilvl w:val="0"/>
          <w:numId w:val="1"/>
        </w:numPr>
        <w:rPr/>
      </w:pPr>
      <w:r>
        <w:rPr/>
        <w:t xml:space="preserve">Die meisten KMU sind </w:t>
      </w:r>
      <w:r>
        <w:rPr>
          <w:b/>
          <w:bCs/>
        </w:rPr>
        <w:t>Betreiber</w:t>
      </w:r>
      <w:r>
        <w:rPr/>
        <w:t>, nicht Anbieter — mit deutlich geringerem Pflichtumfang. Aber Vorsicht: Fine-Tuning oder Umbenennung können KMU unbeabsichtigt zum Anbieter machen</w:t>
      </w:r>
      <w:r>
        <w:rPr>
          <w:rStyle w:val="FootnoteReference"/>
        </w:rPr>
        <w:footnoteReference w:id="6"/>
      </w:r>
      <w:r>
        <w:rPr/>
        <w:t>.</w:t>
      </w:r>
      <w:bookmarkEnd w:id="3"/>
    </w:p>
    <w:p>
      <w:pPr>
        <w:pStyle w:val="Heading2"/>
        <w:rPr/>
      </w:pPr>
      <w:bookmarkStart w:id="4" w:name="__RefHeading___Toc1280_632260411"/>
      <w:bookmarkStart w:id="5" w:name="der-eu-ai-act-im-überblick"/>
      <w:bookmarkEnd w:id="4"/>
      <w:r>
        <w:rPr/>
        <w:t>Der EU AI Act im Überblick</w:t>
      </w:r>
    </w:p>
    <w:p>
      <w:pPr>
        <w:pStyle w:val="Heading3"/>
        <w:rPr/>
      </w:pPr>
      <w:bookmarkStart w:id="6" w:name="__RefHeading___Toc1282_632260411"/>
      <w:bookmarkStart w:id="7" w:name="was-ist-die-ki-verordnung"/>
      <w:bookmarkEnd w:id="6"/>
      <w:r>
        <w:rPr/>
        <w:t>Was ist die KI-Verordnung?</w:t>
      </w:r>
    </w:p>
    <w:p>
      <w:pPr>
        <w:pStyle w:val="FirstParagraph"/>
        <w:rPr/>
      </w:pPr>
      <w:r>
        <w:rPr/>
        <w:t>Die Verordnung (EU) 2024/1689</w:t>
      </w:r>
      <w:r>
        <w:rPr>
          <w:rStyle w:val="FootnoteReference"/>
        </w:rPr>
        <w:footnoteReference w:id="7"/>
      </w:r>
      <w:r>
        <w:rPr/>
        <w:t xml:space="preserve"> — kurz EU AI Act — ist das weltweit erste umfassende Regulierungswerk für Künstliche Intelligenz. Sie wurde am 13. Juni 2024 unterzeichnet, am 12. Juli 2024 im Amtsblatt veröffentlicht und trat am 1. August 2024 in Kraft. Die Verordnung gilt unmittelbar in allen EU-Mitgliedstaaten, ohne dass nationale Umsetzungsgesetze erforderlich wären.</w:t>
      </w:r>
      <w:bookmarkEnd w:id="7"/>
    </w:p>
    <w:p>
      <w:pPr>
        <w:pStyle w:val="Heading3"/>
        <w:rPr/>
      </w:pPr>
      <w:bookmarkStart w:id="8" w:name="__RefHeading___Toc1284_632260411"/>
      <w:bookmarkStart w:id="9" w:name="stufenweise-durchsetzung"/>
      <w:bookmarkEnd w:id="8"/>
      <w:r>
        <w:rPr/>
        <w:t>Stufenweise Durchsetzung</w:t>
      </w:r>
    </w:p>
    <w:p>
      <w:pPr>
        <w:pStyle w:val="FirstParagraph"/>
        <w:rPr/>
      </w:pPr>
      <w:r>
        <w:rPr/>
        <w:t>Die Anwendung erfolgt gestaffelt, um Unternehmen Vorbereitungszeit zu geben:</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4679"/>
        <w:gridCol w:w="4681"/>
      </w:tblGrid>
      <w:tr>
        <w:trPr>
          <w:tblHeader w:val="true"/>
        </w:trPr>
        <w:tc>
          <w:tcPr>
            <w:tcW w:w="467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Datum</w:t>
            </w:r>
          </w:p>
        </w:tc>
        <w:tc>
          <w:tcPr>
            <w:tcW w:w="468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Was gilt</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2. Februar 2025</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Verbote inakzeptabler KI-Praktiken (Art. 5); KI-Kompetenzpflicht (Art. 4)</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2. August 2025</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Governance-Regeln; Pflichten für Allzweck-KI-Modelle (GPAI)</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2. August 2026</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Vollständige Anwendbarkeit: Hochrisiko-KI (Anhang III), Transparenzpflichten (Art. 50)</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2. August 2027</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Hochrisiko-KI als Sicherheitskomponenten in regulierten Produkten (Anhang I)</w:t>
            </w:r>
          </w:p>
        </w:tc>
      </w:tr>
    </w:tbl>
    <w:p>
      <w:pPr>
        <w:pStyle w:val="BodyText"/>
        <w:rPr/>
      </w:pPr>
      <w:r>
        <w:rPr>
          <w:rStyle w:val="FootnoteReference"/>
        </w:rPr>
        <w:footnoteReference w:id="8"/>
      </w:r>
    </w:p>
    <w:p>
      <w:pPr>
        <w:pStyle w:val="BodyText"/>
        <w:rPr/>
      </w:pPr>
      <w:r>
        <w:rPr>
          <w:b/>
          <w:bCs/>
        </w:rPr>
        <w:t>Wichtig:</w:t>
      </w:r>
      <w:r>
        <w:rPr/>
        <w:t xml:space="preserve"> Der Digital Omnibus</w:t>
      </w:r>
      <w:r>
        <w:rPr>
          <w:rStyle w:val="FootnoteReference"/>
        </w:rPr>
        <w:footnoteReference w:id="9"/>
      </w:r>
      <w:r>
        <w:rPr/>
        <w:t xml:space="preserve">, im März 2026 vom EU-Parlament angenommen, verschiebt die Hochrisiko-Fristen: Eigenständige Hochrisiko-KI auf den </w:t>
      </w:r>
      <w:r>
        <w:rPr>
          <w:b/>
          <w:bCs/>
        </w:rPr>
        <w:t>2. Dezember 2027</w:t>
      </w:r>
      <w:r>
        <w:rPr/>
        <w:t xml:space="preserve">, in Produkte eingebettete Hochrisiko-KI auf den </w:t>
      </w:r>
      <w:r>
        <w:rPr>
          <w:b/>
          <w:bCs/>
        </w:rPr>
        <w:t>2. August 2028</w:t>
      </w:r>
      <w:r>
        <w:rPr/>
        <w:t>. Hintergrund: Die harmonisierten technischen Standards werden voraussichtlich nicht vor Ende 2026 verfügbar sein. Die Änderungen befinden sich derzeit im Trilog-Verfahren und sind noch nicht finalisiert.</w:t>
      </w:r>
      <w:bookmarkEnd w:id="9"/>
    </w:p>
    <w:p>
      <w:pPr>
        <w:pStyle w:val="Heading3"/>
        <w:rPr/>
      </w:pPr>
      <w:bookmarkStart w:id="10" w:name="__RefHeading___Toc1286_632260411"/>
      <w:bookmarkStart w:id="11" w:name="vier-risikokategorien"/>
      <w:bookmarkEnd w:id="10"/>
      <w:r>
        <w:rPr/>
        <w:t>Vier Risikokategorien</w:t>
      </w:r>
    </w:p>
    <w:p>
      <w:pPr>
        <w:pStyle w:val="FirstParagraph"/>
        <w:rPr/>
      </w:pPr>
      <w:r>
        <w:rPr/>
        <w:t>Der AI Act verfolgt einen risikobasierten Ansatz. Je höher das Risiko eines KI-Systems, desto strenger die Anforderungen:</w:t>
      </w:r>
    </w:p>
    <w:p>
      <w:pPr>
        <w:pStyle w:val="BodyText"/>
        <w:rPr/>
      </w:pPr>
      <w:r>
        <w:rPr>
          <w:b/>
          <w:bCs/>
        </w:rPr>
        <w:t>Inakzeptables Risiko (verboten):</w:t>
      </w:r>
      <w:r>
        <w:rPr/>
        <w:t xml:space="preserve"> KI-Systeme, die als Bedrohung für Grundrechte gelten — Social Scoring, manipulative Techniken, Echtzeit-Biometrie in öffentlichen Räumen</w:t>
      </w:r>
      <w:r>
        <w:rPr>
          <w:rStyle w:val="FootnoteReference"/>
        </w:rPr>
        <w:footnoteReference w:id="10"/>
      </w:r>
      <w:r>
        <w:rPr/>
        <w:t xml:space="preserve"> (mit eng definierten Ausnahmen für Strafverfolgung), prädiktives Policing auf reiner Profiling-Basis, Emotionserkennung am Arbeitsplatz und in Bildungseinrichtungen. Insgesamt acht verbotene Praktiken, die seit dem 2. Februar 2025 gelten.</w:t>
      </w:r>
    </w:p>
    <w:p>
      <w:pPr>
        <w:pStyle w:val="BodyText"/>
        <w:rPr/>
      </w:pPr>
      <w:r>
        <w:rPr>
          <w:b/>
          <w:bCs/>
        </w:rPr>
        <w:t>Hohes Risiko:</w:t>
      </w:r>
      <w:r>
        <w:rPr/>
        <w:t xml:space="preserve"> KI in sensiblen Bereichen wie Personalmanagement, Kreditwürdigkeit, Bildung, kritische Infrastruktur, Strafverfolgung und Migration</w:t>
      </w:r>
      <w:r>
        <w:rPr>
          <w:rStyle w:val="FootnoteReference"/>
        </w:rPr>
        <w:footnoteReference w:id="11"/>
      </w:r>
      <w:r>
        <w:rPr/>
        <w:t>. Strenge Anforderungen an Risikomanagement, Datenqualität, technische Dokumentation, menschliche Aufsicht und Genauigkeit.</w:t>
      </w:r>
    </w:p>
    <w:p>
      <w:pPr>
        <w:pStyle w:val="BodyText"/>
        <w:rPr/>
      </w:pPr>
      <w:r>
        <w:rPr>
          <w:b/>
          <w:bCs/>
        </w:rPr>
        <w:t>Begrenztes Risiko (Transparenzpflichten):</w:t>
      </w:r>
      <w:r>
        <w:rPr/>
        <w:t xml:space="preserve"> Chatbots müssen als KI gekennzeichnet werden</w:t>
      </w:r>
      <w:r>
        <w:rPr>
          <w:rStyle w:val="FootnoteReference"/>
        </w:rPr>
        <w:footnoteReference w:id="12"/>
      </w:r>
      <w:r>
        <w:rPr/>
        <w:t>, Deepfakes als KI-generiert, Emotionserkennung als solche offengelegt.</w:t>
      </w:r>
    </w:p>
    <w:p>
      <w:pPr>
        <w:pStyle w:val="BodyText"/>
        <w:rPr/>
      </w:pPr>
      <w:r>
        <w:rPr>
          <w:b/>
          <w:bCs/>
        </w:rPr>
        <w:t>Minimales Risiko:</w:t>
      </w:r>
      <w:r>
        <w:rPr/>
        <w:t xml:space="preserve"> Die Mehrheit aller KI-Systeme (Spamfilter, Empfehlungsalgorithmen, Rechtschreibprüfung). Keine spezifischen Pflichten — lediglich freiwillige Verhaltenskodizes.</w:t>
      </w:r>
      <w:bookmarkEnd w:id="11"/>
    </w:p>
    <w:p>
      <w:pPr>
        <w:pStyle w:val="Heading3"/>
        <w:rPr/>
      </w:pPr>
      <w:bookmarkStart w:id="12" w:name="__RefHeading___Toc1288_632260411"/>
      <w:bookmarkStart w:id="13" w:name="wer-ist-betroffen"/>
      <w:bookmarkEnd w:id="12"/>
      <w:r>
        <w:rPr/>
        <w:t>Wer ist betroffen?</w:t>
      </w:r>
    </w:p>
    <w:p>
      <w:pPr>
        <w:pStyle w:val="FirstParagraph"/>
        <w:rPr/>
      </w:pPr>
      <w:r>
        <w:rPr/>
        <w:t>Der AI Act definiert vier zentrale Rollen</w:t>
      </w:r>
      <w:r>
        <w:rPr>
          <w:rStyle w:val="FootnoteReference"/>
        </w:rPr>
        <w:footnoteReference w:id="13"/>
      </w:r>
      <w:r>
        <w:rPr/>
        <w:t xml:space="preserve"> mit abgestuften Pflichten:</w:t>
      </w:r>
    </w:p>
    <w:p>
      <w:pPr>
        <w:pStyle w:val="Compact"/>
        <w:numPr>
          <w:ilvl w:val="0"/>
          <w:numId w:val="1"/>
        </w:numPr>
        <w:rPr/>
      </w:pPr>
      <w:r>
        <w:rPr>
          <w:b/>
          <w:bCs/>
        </w:rPr>
        <w:t>Anbieter (Provider):</w:t>
      </w:r>
      <w:r>
        <w:rPr/>
        <w:t xml:space="preserve"> Entwickeln KI-Systeme und bringen sie unter eigenem Namen in Verkehr. Umfangreichste Pflichten: Konformitätsbewertung, technische Dokumentation, Qualitätsmanagement, CE-Kennzeichnung, Marktüberwachung. Dokumentation 10 Jahre aufbewahren.</w:t>
      </w:r>
    </w:p>
    <w:p>
      <w:pPr>
        <w:pStyle w:val="Compact"/>
        <w:numPr>
          <w:ilvl w:val="0"/>
          <w:numId w:val="1"/>
        </w:numPr>
        <w:rPr/>
      </w:pPr>
      <w:r>
        <w:rPr>
          <w:b/>
          <w:bCs/>
        </w:rPr>
        <w:t>Betreiber (Deployer):</w:t>
      </w:r>
      <w:r>
        <w:rPr/>
        <w:t xml:space="preserve"> Setzen KI-Systeme unter eigener Verantwortung beruflich ein. Pflichten: Nutzung gemäß Herstelleranweisungen, menschliche Aufsicht, Protokollaufbewahrung (mind. 6 Monate), Information betroffener Personen.</w:t>
      </w:r>
    </w:p>
    <w:p>
      <w:pPr>
        <w:pStyle w:val="Compact"/>
        <w:numPr>
          <w:ilvl w:val="0"/>
          <w:numId w:val="1"/>
        </w:numPr>
        <w:rPr/>
      </w:pPr>
      <w:r>
        <w:rPr>
          <w:b/>
          <w:bCs/>
        </w:rPr>
        <w:t>Einführer (Importer):</w:t>
      </w:r>
      <w:r>
        <w:rPr/>
        <w:t xml:space="preserve"> Bringen KI-Systeme von Nicht-EU-Anbietern auf den EU-Markt. Pflichten: Überprüfung der Konformität.</w:t>
      </w:r>
    </w:p>
    <w:p>
      <w:pPr>
        <w:pStyle w:val="Compact"/>
        <w:numPr>
          <w:ilvl w:val="0"/>
          <w:numId w:val="1"/>
        </w:numPr>
        <w:rPr/>
      </w:pPr>
      <w:r>
        <w:rPr>
          <w:b/>
          <w:bCs/>
        </w:rPr>
        <w:t>Händler (Distributor):</w:t>
      </w:r>
      <w:r>
        <w:rPr/>
        <w:t xml:space="preserve"> Stellen KI-Systeme auf dem Markt bereit. Pflichten: Verifizierung von CE-Kennzeichnung und Dokumentation.</w:t>
      </w:r>
    </w:p>
    <w:p>
      <w:pPr>
        <w:pStyle w:val="FirstParagraph"/>
        <w:rPr/>
      </w:pPr>
      <w:r>
        <w:rPr/>
        <w:t xml:space="preserve">Der AI Act gilt </w:t>
      </w:r>
      <w:r>
        <w:rPr>
          <w:b/>
          <w:bCs/>
        </w:rPr>
        <w:t>extraterritorial</w:t>
      </w:r>
      <w:r>
        <w:rPr/>
        <w:t>: Auch Nicht-EU-Unternehmen sind betroffen, wenn ihre KI-Systeme in der EU eingesetzt werden oder ihre Outputs Personen in der EU betreffen.</w:t>
      </w:r>
      <w:bookmarkEnd w:id="5"/>
      <w:bookmarkEnd w:id="13"/>
    </w:p>
    <w:p>
      <w:pPr>
        <w:pStyle w:val="Heading2"/>
        <w:rPr/>
      </w:pPr>
      <w:bookmarkStart w:id="14" w:name="__RefHeading___Toc1290_632260411"/>
      <w:bookmarkStart w:id="15" w:name="was-bedeutet-das-für-kmu"/>
      <w:bookmarkEnd w:id="14"/>
      <w:r>
        <w:rPr/>
        <w:t>Was bedeutet das für KMU?</w:t>
      </w:r>
    </w:p>
    <w:p>
      <w:pPr>
        <w:pStyle w:val="Heading3"/>
        <w:rPr/>
      </w:pPr>
      <w:bookmarkStart w:id="16" w:name="__RefHeading___Toc1292_632260411"/>
      <w:bookmarkStart w:id="17" w:name="keine-pauschale-befreiung"/>
      <w:bookmarkEnd w:id="16"/>
      <w:r>
        <w:rPr/>
        <w:t>Keine pauschale Befreiung</w:t>
      </w:r>
    </w:p>
    <w:p>
      <w:pPr>
        <w:pStyle w:val="FirstParagraph"/>
        <w:rPr/>
      </w:pPr>
      <w:r>
        <w:rPr/>
        <w:t>Ein verbreitetes Missverständnis: Es gibt keine KMU-Befreiung</w:t>
      </w:r>
      <w:r>
        <w:rPr>
          <w:rStyle w:val="FootnoteReference"/>
        </w:rPr>
        <w:footnoteReference w:id="14"/>
      </w:r>
      <w:r>
        <w:rPr/>
        <w:t>. Ein Drei-Personen-Startup, das Hochrisiko-KI auf den EU-Markt bringt, unterliegt denselben inhaltlichen Anforderungen wie ein Konzern. Die Erleichterungen betreffen Gebühren, Dokumentationsformat und Zugang zu Unterstützung — nicht den Schutzstandard selbst.</w:t>
      </w:r>
      <w:bookmarkEnd w:id="17"/>
    </w:p>
    <w:p>
      <w:pPr>
        <w:pStyle w:val="Heading3"/>
        <w:rPr/>
      </w:pPr>
      <w:bookmarkStart w:id="18" w:name="__RefHeading___Toc1294_632260411"/>
      <w:bookmarkStart w:id="19" w:name="Xef5ce69120678bdfed0540e23270e19c76fd305"/>
      <w:bookmarkEnd w:id="18"/>
      <w:r>
        <w:rPr/>
        <w:t>Anbieter oder Betreiber? Die entscheidende Frage</w:t>
      </w:r>
    </w:p>
    <w:p>
      <w:pPr>
        <w:pStyle w:val="FirstParagraph"/>
        <w:rPr/>
      </w:pPr>
      <w:r>
        <w:rPr/>
        <w:t xml:space="preserve">Die meisten KMU sind </w:t>
      </w:r>
      <w:r>
        <w:rPr>
          <w:b/>
          <w:bCs/>
        </w:rPr>
        <w:t>Betreiber</w:t>
      </w:r>
      <w:r>
        <w:rPr/>
        <w:t>: Sie nutzen KI-Tools (ChatGPT, KI-gestützte Buchhaltung, CRM mit KI-Funktionen), entwickeln diese aber nicht selbst. Der Pflichtumfang als Betreiber ist deutlich geringer als für Anbieter</w:t>
      </w:r>
      <w:r>
        <w:rPr>
          <w:rStyle w:val="FootnoteReference"/>
        </w:rPr>
        <w:footnoteReference w:id="15"/>
      </w:r>
      <w:r>
        <w:rPr/>
        <w:t>.</w:t>
      </w:r>
    </w:p>
    <w:p>
      <w:pPr>
        <w:pStyle w:val="BodyText"/>
        <w:rPr/>
      </w:pPr>
      <w:r>
        <w:rPr>
          <w:b/>
          <w:bCs/>
        </w:rPr>
        <w:t>Achtung — Rollenumklassifizierung:</w:t>
      </w:r>
      <w:r>
        <w:rPr/>
        <w:t xml:space="preserve"> Ein Betreiber wird zum Anbieter (mit vollen Anbieterpflichten), wenn er: - ein KI-System unter eigenem Namen oder eigener Marke vermarktet, - wesentliche Änderungen am System vornimmt, oder - den Verwendungszweck so ändert, dass eine Hochrisiko-Einstufung ausgelöst wird.</w:t>
      </w:r>
    </w:p>
    <w:p>
      <w:pPr>
        <w:pStyle w:val="BodyText"/>
        <w:rPr/>
      </w:pPr>
      <w:r>
        <w:rPr/>
        <w:t>Besonders relevant für KMU: Fine-Tuning eines bestehenden Modells löst volle Anbieterpflichten aus, wenn der Rechenaufwand mindestens ein Drittel des ursprünglichen Trainingsaufwands übersteigt</w:t>
      </w:r>
      <w:r>
        <w:rPr>
          <w:rStyle w:val="FootnoteReference"/>
        </w:rPr>
        <w:footnoteReference w:id="16"/>
      </w:r>
      <w:r>
        <w:rPr/>
        <w:t>. Unterhalb dieser Schwelle gelten eingeschränkte Dokumentationspflichten für die eigenen Modifikationen.</w:t>
      </w:r>
      <w:bookmarkEnd w:id="19"/>
    </w:p>
    <w:p>
      <w:pPr>
        <w:pStyle w:val="Heading3"/>
        <w:rPr/>
      </w:pPr>
      <w:bookmarkStart w:id="20" w:name="__RefHeading___Toc1296_632260411"/>
      <w:bookmarkStart w:id="21" w:name="kmu-spezifische-erleichterungen"/>
      <w:bookmarkEnd w:id="20"/>
      <w:r>
        <w:rPr/>
        <w:t>KMU-spezifische Erleichterungen</w:t>
      </w:r>
    </w:p>
    <w:p>
      <w:pPr>
        <w:pStyle w:val="FirstParagraph"/>
        <w:rPr/>
      </w:pPr>
      <w:r>
        <w:rPr/>
        <w:t>Artikel 62 der Verordnung</w:t>
      </w:r>
      <w:r>
        <w:rPr>
          <w:rStyle w:val="FootnoteReference"/>
        </w:rPr>
        <w:footnoteReference w:id="17"/>
      </w:r>
      <w:r>
        <w:rPr/>
        <w:t xml:space="preserve"> verpflichtet Mitgliedstaaten zu konkreten Unterstützungsmaßnahmen:</w:t>
      </w:r>
    </w:p>
    <w:p>
      <w:pPr>
        <w:pStyle w:val="Compact"/>
        <w:numPr>
          <w:ilvl w:val="0"/>
          <w:numId w:val="1"/>
        </w:numPr>
        <w:rPr/>
      </w:pPr>
      <w:r>
        <w:rPr>
          <w:b/>
          <w:bCs/>
        </w:rPr>
        <w:t>Vereinfachte Dokumentation:</w:t>
      </w:r>
      <w:r>
        <w:rPr/>
        <w:t xml:space="preserve"> KMU dürfen statt der vollen Annex-IV-Dokumentation ein vereinfachtes Formular verwenden</w:t>
      </w:r>
      <w:r>
        <w:rPr>
          <w:rStyle w:val="FootnoteReference"/>
        </w:rPr>
        <w:footnoteReference w:id="18"/>
      </w:r>
      <w:r>
        <w:rPr/>
        <w:t>, das die EU-Kommission bereitstellen muss (noch nicht veröffentlicht, Stand April 2026).</w:t>
      </w:r>
    </w:p>
    <w:p>
      <w:pPr>
        <w:pStyle w:val="Compact"/>
        <w:numPr>
          <w:ilvl w:val="0"/>
          <w:numId w:val="1"/>
        </w:numPr>
        <w:rPr/>
      </w:pPr>
      <w:r>
        <w:rPr>
          <w:b/>
          <w:bCs/>
        </w:rPr>
        <w:t>Priorisierter Sandbox-Zugang:</w:t>
      </w:r>
      <w:r>
        <w:rPr/>
        <w:t xml:space="preserve"> Jeder Mitgliedstaat muss bis August 2026 mindestens eine Regulatory Sandbox einrichten, zu der KMU kostenlosen Zugang erhalten</w:t>
      </w:r>
      <w:r>
        <w:rPr>
          <w:rStyle w:val="FootnoteReference"/>
        </w:rPr>
        <w:footnoteReference w:id="19"/>
      </w:r>
      <w:r>
        <w:rPr/>
        <w:t>.</w:t>
      </w:r>
    </w:p>
    <w:p>
      <w:pPr>
        <w:pStyle w:val="Compact"/>
        <w:numPr>
          <w:ilvl w:val="0"/>
          <w:numId w:val="1"/>
        </w:numPr>
        <w:rPr/>
      </w:pPr>
      <w:r>
        <w:rPr>
          <w:b/>
          <w:bCs/>
        </w:rPr>
        <w:t>Reduzierte Gebühren:</w:t>
      </w:r>
      <w:r>
        <w:rPr/>
        <w:t xml:space="preserve"> Konformitätsbewertungsgebühren werden proportional zur Unternehmensgröße gesenkt.</w:t>
      </w:r>
    </w:p>
    <w:p>
      <w:pPr>
        <w:pStyle w:val="Compact"/>
        <w:numPr>
          <w:ilvl w:val="0"/>
          <w:numId w:val="1"/>
        </w:numPr>
        <w:rPr/>
      </w:pPr>
      <w:r>
        <w:rPr>
          <w:b/>
          <w:bCs/>
        </w:rPr>
        <w:t>Dedizierte Kommunikationskanäle:</w:t>
      </w:r>
      <w:r>
        <w:rPr/>
        <w:t xml:space="preserve"> Spezifische Beratungsangebote für KMU bei nationalen Behörden.</w:t>
      </w:r>
    </w:p>
    <w:p>
      <w:pPr>
        <w:pStyle w:val="Compact"/>
        <w:numPr>
          <w:ilvl w:val="0"/>
          <w:numId w:val="1"/>
        </w:numPr>
        <w:rPr/>
      </w:pPr>
      <w:r>
        <w:rPr>
          <w:b/>
          <w:bCs/>
        </w:rPr>
        <w:t>Befreiung von Stakeholder-Konsultation:</w:t>
      </w:r>
      <w:r>
        <w:rPr/>
        <w:t xml:space="preserve"> KMU müssen bei der Grundrechte-Folgenabschätzung keine externen Stakeholder konsultieren</w:t>
      </w:r>
      <w:r>
        <w:rPr>
          <w:rStyle w:val="FootnoteReference"/>
        </w:rPr>
        <w:footnoteReference w:id="20"/>
      </w:r>
      <w:r>
        <w:rPr/>
        <w:t>.</w:t>
      </w:r>
    </w:p>
    <w:p>
      <w:pPr>
        <w:pStyle w:val="FirstParagraph"/>
        <w:rPr/>
      </w:pPr>
      <w:r>
        <w:rPr/>
        <w:t>Der Digital Omnibus erweitert diese Erleichterungen auf „Small Mid-Cap”-Unternehmen mit bis zu 750 Mitarbeitern und unter 150 Mio. EUR Umsatz</w:t>
      </w:r>
      <w:r>
        <w:rPr>
          <w:rStyle w:val="FootnoteReference"/>
        </w:rPr>
        <w:footnoteReference w:id="21"/>
      </w:r>
      <w:r>
        <w:rPr/>
        <w:t>.</w:t>
      </w:r>
      <w:bookmarkEnd w:id="21"/>
    </w:p>
    <w:p>
      <w:pPr>
        <w:pStyle w:val="Heading3"/>
        <w:rPr/>
      </w:pPr>
      <w:bookmarkStart w:id="22" w:name="__RefHeading___Toc1298_632260411"/>
      <w:bookmarkStart w:id="23" w:name="open-source-ki-was-gilt-für-kmu"/>
      <w:bookmarkEnd w:id="22"/>
      <w:r>
        <w:rPr/>
        <w:t>Open-Source-KI: Was gilt für KMU?</w:t>
      </w:r>
    </w:p>
    <w:p>
      <w:pPr>
        <w:pStyle w:val="FirstParagraph"/>
        <w:rPr/>
      </w:pPr>
      <w:r>
        <w:rPr/>
        <w:t>Open-Source-GPAI-Modelle sind unter bestimmten Bedingungen von Dokumentationspflichten befreit</w:t>
      </w:r>
      <w:r>
        <w:rPr>
          <w:rStyle w:val="FootnoteReference"/>
        </w:rPr>
        <w:footnoteReference w:id="22"/>
      </w:r>
      <w:r>
        <w:rPr/>
        <w:t>: freie Lizenz (Apache 2.0, MIT — nicht „Research Only”), öffentliche Verfügbarkeit der Gewichte und Architektur, und keine Monetarisierung. Aber: Urheberrechtspolitik und Trainingsdaten-Zusammenfassung müssen immer erfüllt werden</w:t>
      </w:r>
      <w:r>
        <w:rPr>
          <w:rStyle w:val="FootnoteReference"/>
        </w:rPr>
        <w:footnoteReference w:id="23"/>
      </w:r>
      <w:r>
        <w:rPr/>
        <w:t>.</w:t>
      </w:r>
    </w:p>
    <w:p>
      <w:pPr>
        <w:pStyle w:val="BodyText"/>
        <w:rPr/>
      </w:pPr>
      <w:r>
        <w:rPr/>
        <w:t>Für KI-Systeme (nicht nur Modelle) gilt eine breitere Open-Source-Ausnahme nach Art. 2(12)</w:t>
      </w:r>
      <w:r>
        <w:rPr>
          <w:rStyle w:val="FootnoteReference"/>
        </w:rPr>
        <w:footnoteReference w:id="24"/>
      </w:r>
      <w:r>
        <w:rPr/>
        <w:t xml:space="preserve"> — es sei denn, das System ist hochriskant, verboten oder fällt unter Transparenzpflichten.</w:t>
      </w:r>
    </w:p>
    <w:p>
      <w:pPr>
        <w:pStyle w:val="BodyText"/>
        <w:rPr/>
      </w:pPr>
      <w:r>
        <w:rPr/>
        <w:t>Wichtig für KMU, die Open-Source-Modelle kommerzialisieren wollen: Die Ausnahme erlischt bei Monetarisierung</w:t>
      </w:r>
      <w:r>
        <w:rPr>
          <w:rStyle w:val="FootnoteReference"/>
        </w:rPr>
        <w:footnoteReference w:id="25"/>
      </w:r>
      <w:r>
        <w:rPr/>
        <w:t>. API-Gebühren oder Lizenzgebühren gelten klar als kommerziell. Kostenpflichtiger Support liegt in einer Grauzone.</w:t>
      </w:r>
      <w:bookmarkEnd w:id="15"/>
      <w:bookmarkEnd w:id="23"/>
    </w:p>
    <w:p>
      <w:pPr>
        <w:pStyle w:val="Heading2"/>
        <w:rPr/>
      </w:pPr>
      <w:bookmarkStart w:id="24" w:name="__RefHeading___Toc1300_632260411"/>
      <w:bookmarkStart w:id="25" w:name="praktische-schritte-zur-compliance"/>
      <w:bookmarkEnd w:id="24"/>
      <w:r>
        <w:rPr/>
        <w:t>Praktische Schritte zur Compliance</w:t>
      </w:r>
    </w:p>
    <w:p>
      <w:pPr>
        <w:pStyle w:val="Heading3"/>
        <w:rPr/>
      </w:pPr>
      <w:bookmarkStart w:id="26" w:name="__RefHeading___Toc1302_632260411"/>
      <w:bookmarkStart w:id="27" w:name="Xdf2fb3e3ebb8907ece62205767ca7b4766098aa"/>
      <w:bookmarkEnd w:id="26"/>
      <w:r>
        <w:rPr/>
        <w:t>1. KI-Kompetenz sicherstellen (gilt seit Februar 2025)</w:t>
      </w:r>
    </w:p>
    <w:p>
      <w:pPr>
        <w:pStyle w:val="FirstParagraph"/>
        <w:rPr/>
      </w:pPr>
      <w:r>
        <w:rPr/>
        <w:t>Die KI-Kompetenzpflicht nach Artikel 4</w:t>
      </w:r>
      <w:r>
        <w:rPr>
          <w:rStyle w:val="FootnoteReference"/>
        </w:rPr>
        <w:footnoteReference w:id="26"/>
      </w:r>
      <w:r>
        <w:rPr/>
        <w:t xml:space="preserve"> gilt bereits jetzt — auch für KMU, die KI nur gelegentlich einsetzen (z. B. ChatGPT, KI-gestützte Buchhaltungssoftware). Das AI Office stellt klar: „There is no one size fits all when it comes to AI literacy.” Es gibt keine vorgeschriebenen Zertifikate oder Pflichtschulungen. Stattdessen müssen Maßnahmen kontextbezogen sein und vier Faktoren berücksichtigen: technisches Vorwissen, Erfahrung, Ausbildung der Mitarbeitenden und Einsatzkontext. Nur Bedienungsanleitungen bereitzustellen reicht ausdrücklich </w:t>
      </w:r>
      <w:r>
        <w:rPr>
          <w:b/>
          <w:bCs/>
        </w:rPr>
        <w:t>nicht</w:t>
      </w:r>
      <w:r>
        <w:rPr/>
        <w:t>.</w:t>
      </w:r>
    </w:p>
    <w:p>
      <w:pPr>
        <w:pStyle w:val="BodyText"/>
        <w:rPr/>
      </w:pPr>
      <w:r>
        <w:rPr/>
        <w:t>Die IHK Schleswig-Holstein empfiehlt</w:t>
      </w:r>
      <w:r>
        <w:rPr>
          <w:rStyle w:val="FootnoteReference"/>
        </w:rPr>
        <w:footnoteReference w:id="27"/>
      </w:r>
      <w:r>
        <w:rPr/>
        <w:t xml:space="preserve"> ein vierstufiges Vorgehen: (1) Bedarfsanalyse — eingesetzte KI-Systeme und betroffene Mitarbeitende identifizieren, (2) Schulungskonzepte — Grundlagen-Workshops und fachspezifische Trainings, (3) interne KI-Richtlinien erstellen, (4) einen KI-Beauftragten ernennen. Obwohl keine formale Nachweispflicht besteht, wird dringend empfohlen, Schulungsmaßnahmen zu dokumentieren — bei Verstößen drohen zivilrechtliche Risiken.</w:t>
      </w:r>
      <w:bookmarkEnd w:id="27"/>
    </w:p>
    <w:p>
      <w:pPr>
        <w:pStyle w:val="Heading3"/>
        <w:rPr/>
      </w:pPr>
      <w:bookmarkStart w:id="28" w:name="__RefHeading___Toc1304_632260411"/>
      <w:bookmarkStart w:id="29" w:name="ki-inventur-durchführen"/>
      <w:bookmarkEnd w:id="28"/>
      <w:r>
        <w:rPr/>
        <w:t>2. KI-Inventur durchführen</w:t>
      </w:r>
    </w:p>
    <w:p>
      <w:pPr>
        <w:pStyle w:val="FirstParagraph"/>
        <w:rPr/>
      </w:pPr>
      <w:r>
        <w:rPr/>
        <w:t>Bevor eine Risikoklassifizierung möglich ist, müssen alle KI-Systeme im Unternehmen erfasst werden — auch eingebettete KI-Funktionen in ERP, CRM, HR-Software und Cloud-Diensten</w:t>
      </w:r>
      <w:r>
        <w:rPr>
          <w:rStyle w:val="FootnoteReference"/>
        </w:rPr>
        <w:footnoteReference w:id="28"/>
      </w:r>
      <w:r>
        <w:rPr/>
        <w:t>.</w:t>
      </w:r>
      <w:bookmarkEnd w:id="29"/>
    </w:p>
    <w:p>
      <w:pPr>
        <w:pStyle w:val="Heading3"/>
        <w:rPr/>
      </w:pPr>
      <w:bookmarkStart w:id="30" w:name="__RefHeading___Toc1306_632260411"/>
      <w:bookmarkStart w:id="31" w:name="X8c88de67a0dd6b0f06fb517fcb960d1709eba1e"/>
      <w:bookmarkEnd w:id="30"/>
      <w:r>
        <w:rPr/>
        <w:t>3. Risikoklassifizierung und Rollenbestimmung</w:t>
      </w:r>
    </w:p>
    <w:p>
      <w:pPr>
        <w:pStyle w:val="FirstParagraph"/>
        <w:rPr/>
      </w:pPr>
      <w:r>
        <w:rPr/>
        <w:t>Für jedes identifizierte KI-System: Gegen die vier Risikostufen prüfen, Anhang III für die Liste der Hochrisiko-Bereiche konsultieren</w:t>
      </w:r>
      <w:r>
        <w:rPr>
          <w:rStyle w:val="FootnoteReference"/>
        </w:rPr>
        <w:footnoteReference w:id="29"/>
      </w:r>
      <w:r>
        <w:rPr/>
        <w:t xml:space="preserve"> und die eigene Rolle klären (Anbieter, Betreiber, Einführer). Wer ein System als nicht hochriskant einstuft, muss diese Bewertung dokumentieren, bevor das System auf den Markt kommt</w:t>
      </w:r>
      <w:r>
        <w:rPr>
          <w:rStyle w:val="FootnoteReference"/>
        </w:rPr>
        <w:footnoteReference w:id="30"/>
      </w:r>
      <w:r>
        <w:rPr/>
        <w:t>.</w:t>
      </w:r>
      <w:bookmarkEnd w:id="31"/>
    </w:p>
    <w:p>
      <w:pPr>
        <w:pStyle w:val="Heading3"/>
        <w:rPr/>
      </w:pPr>
      <w:bookmarkStart w:id="32" w:name="__RefHeading___Toc1308_632260411"/>
      <w:bookmarkStart w:id="33" w:name="governance-und-dokumentation-aufbauen"/>
      <w:bookmarkEnd w:id="32"/>
      <w:r>
        <w:rPr/>
        <w:t>4. Governance und Dokumentation aufbauen</w:t>
      </w:r>
    </w:p>
    <w:p>
      <w:pPr>
        <w:pStyle w:val="FirstParagraph"/>
        <w:rPr/>
      </w:pPr>
      <w:r>
        <w:rPr/>
        <w:t>Bis August 2026</w:t>
      </w:r>
      <w:r>
        <w:rPr>
          <w:rStyle w:val="FootnoteReference"/>
        </w:rPr>
        <w:footnoteReference w:id="31"/>
      </w:r>
      <w:r>
        <w:rPr/>
        <w:t xml:space="preserve"> sollten KMU: Verantwortliche für KI-Compliance benennen, Verträge mit KI-Anbietern auf Konformität prüfen, bestehende Compliance-Strukturen nutzen — eine DSGVO-Datenschutzfolgenabschätzung kann mit der KI-Grundrechtefolgenabschätzung kombiniert werden</w:t>
      </w:r>
      <w:r>
        <w:rPr>
          <w:rStyle w:val="FootnoteReference"/>
        </w:rPr>
        <w:footnoteReference w:id="32"/>
      </w:r>
      <w:r>
        <w:rPr/>
        <w:t>, und KI-Sicherheit sollte ins bestehende ISMS integriert werden (Prompt Injection, Data Poisoning in die Risikoanalyse aufnehmen).</w:t>
      </w:r>
      <w:bookmarkEnd w:id="33"/>
    </w:p>
    <w:p>
      <w:pPr>
        <w:pStyle w:val="Heading3"/>
        <w:rPr/>
      </w:pPr>
      <w:bookmarkStart w:id="34" w:name="__RefHeading___Toc1310_632260411"/>
      <w:bookmarkStart w:id="35" w:name="empfohlene-roadmap-für-kmu"/>
      <w:bookmarkEnd w:id="34"/>
      <w:r>
        <w:rPr/>
        <w:t>Empfohlene Roadmap für KMU</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4679"/>
        <w:gridCol w:w="4681"/>
      </w:tblGrid>
      <w:tr>
        <w:trPr>
          <w:tblHeader w:val="true"/>
        </w:trPr>
        <w:tc>
          <w:tcPr>
            <w:tcW w:w="467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Zeitraum</w:t>
            </w:r>
          </w:p>
        </w:tc>
        <w:tc>
          <w:tcPr>
            <w:tcW w:w="468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Maßnahme</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Sofort</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KI-Kompetenz-Schulungen durchführen (Pflicht seit Feb. 2025)</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Sofort</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KI-Inventur: Alle KI-Systeme im Unternehmen dokumentieren</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Bis Mai 2026</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Risikoklassifizierung und Rollenbestimmung abschließen</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Bis August 2026</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Governance-Struktur, Dokumentation und Risikomanagement aufbauen</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Bis Dezember 2027</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Volle Compliance für eigenständige Hochrisiko-KI (Annex III)*</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Bis August 2028</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Volle Compliance für eingebettete Hochrisiko-KI (Annex I)*</w:t>
            </w:r>
          </w:p>
        </w:tc>
      </w:tr>
    </w:tbl>
    <w:p>
      <w:pPr>
        <w:pStyle w:val="BodyText"/>
        <w:rPr/>
      </w:pPr>
      <w:r>
        <w:rPr/>
        <w:t>*Fristen gemäß Digital Omnibus; Trilog-Verhandlungen laufen noch.</w:t>
      </w:r>
      <w:bookmarkEnd w:id="25"/>
      <w:bookmarkEnd w:id="35"/>
    </w:p>
    <w:p>
      <w:pPr>
        <w:pStyle w:val="Heading2"/>
        <w:rPr/>
      </w:pPr>
      <w:bookmarkStart w:id="36" w:name="__RefHeading___Toc1312_632260411"/>
      <w:bookmarkStart w:id="37" w:name="kosten-und-konsequenzen"/>
      <w:bookmarkEnd w:id="36"/>
      <w:r>
        <w:rPr/>
        <w:t>Kosten und Konsequenzen</w:t>
      </w:r>
    </w:p>
    <w:p>
      <w:pPr>
        <w:pStyle w:val="Heading3"/>
        <w:rPr/>
      </w:pPr>
      <w:bookmarkStart w:id="38" w:name="__RefHeading___Toc1314_632260411"/>
      <w:bookmarkStart w:id="39" w:name="Xa096f539b60020cf7dcf7a487f27eec9c7caedb"/>
      <w:bookmarkEnd w:id="38"/>
      <w:r>
        <w:rPr/>
        <w:t>Bußgelder: Dreistufiges System mit KMU-Schutzklausel</w:t>
      </w:r>
    </w:p>
    <w:p>
      <w:pPr>
        <w:pStyle w:val="FirstParagraph"/>
        <w:rPr/>
      </w:pPr>
      <w:r>
        <w:rPr/>
        <w:t>Der Artikel 99 der KI-Verordnung</w:t>
      </w:r>
      <w:r>
        <w:rPr>
          <w:rStyle w:val="FootnoteReference"/>
        </w:rPr>
        <w:footnoteReference w:id="33"/>
      </w:r>
      <w:r>
        <w:rPr/>
        <w:t xml:space="preserve"> sieht drei Bußgeldstufen vor:</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4679"/>
        <w:gridCol w:w="4681"/>
      </w:tblGrid>
      <w:tr>
        <w:trPr>
          <w:tblHeader w:val="true"/>
        </w:trPr>
        <w:tc>
          <w:tcPr>
            <w:tcW w:w="467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Verstoß</w:t>
            </w:r>
          </w:p>
        </w:tc>
        <w:tc>
          <w:tcPr>
            <w:tcW w:w="468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Obergrenze</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Verbotene KI-Praktiken (Art. 5)</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35 Mio. EUR oder 7 % des weltweiten Jahresumsatzes</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Andere Verstöße (z. B. Hochrisiko-Pflichten)</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15 Mio. EUR oder 3 % des Umsatzes</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Falsche/unvollständige Angaben an Behörden</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7,5 Mio. EUR oder 1 % des Umsatzes</w:t>
            </w:r>
          </w:p>
        </w:tc>
      </w:tr>
    </w:tbl>
    <w:p>
      <w:pPr>
        <w:pStyle w:val="BodyText"/>
        <w:rPr/>
      </w:pPr>
      <w:r>
        <w:rPr/>
        <w:t xml:space="preserve">Für Großunternehmen gilt jeweils der </w:t>
      </w:r>
      <w:r>
        <w:rPr>
          <w:b/>
          <w:bCs/>
        </w:rPr>
        <w:t>höhere</w:t>
      </w:r>
      <w:r>
        <w:rPr/>
        <w:t xml:space="preserve"> Betrag. Für KMU und Startups gilt eine explizite Schutzklausel: der jeweils </w:t>
      </w:r>
      <w:r>
        <w:rPr>
          <w:b/>
          <w:bCs/>
        </w:rPr>
        <w:t>niedrigere</w:t>
      </w:r>
      <w:r>
        <w:rPr/>
        <w:t xml:space="preserve"> Betrag</w:t>
      </w:r>
      <w:r>
        <w:rPr>
          <w:rStyle w:val="FootnoteReference"/>
        </w:rPr>
        <w:footnoteReference w:id="34"/>
      </w:r>
      <w:r>
        <w:rPr/>
        <w:t>. Beispiel: Ein KMU mit 5 Mio. EUR Umsatz riskiert bei einem Verstoß gegen verbotene Praktiken maximal 350.000 EUR (7 % von 5 Mio.) statt 35 Mio. EUR.</w:t>
      </w:r>
    </w:p>
    <w:p>
      <w:pPr>
        <w:pStyle w:val="BodyText"/>
        <w:rPr/>
      </w:pPr>
      <w:r>
        <w:rPr/>
        <w:t>Neun Bemessungskriterien</w:t>
      </w:r>
      <w:r>
        <w:rPr>
          <w:rStyle w:val="FootnoteReference"/>
        </w:rPr>
        <w:footnoteReference w:id="35"/>
      </w:r>
      <w:r>
        <w:rPr/>
        <w:t xml:space="preserve"> beeinflussen die tatsächliche Höhe: Schwere und Dauer des Verstoßes, Vorsatz vs. Fahrlässigkeit, Kooperation mit Behörden, dokumentierte Compliance-Maßnahmen und ergriffene Schadensbegrenzung. Proaktives Compliance-Verhalten kann die Strafe erheblich senken.</w:t>
      </w:r>
      <w:bookmarkEnd w:id="39"/>
    </w:p>
    <w:p>
      <w:pPr>
        <w:pStyle w:val="Heading3"/>
        <w:rPr/>
      </w:pPr>
      <w:bookmarkStart w:id="40" w:name="__RefHeading___Toc1316_632260411"/>
      <w:bookmarkStart w:id="41" w:name="geschätzte-compliance-kosten"/>
      <w:bookmarkEnd w:id="40"/>
      <w:r>
        <w:rPr/>
        <w:t>Geschätzte Compliance-Kosten</w:t>
      </w:r>
    </w:p>
    <w:p>
      <w:pPr>
        <w:pStyle w:val="FirstParagraph"/>
        <w:rPr/>
      </w:pPr>
      <w:r>
        <w:rPr/>
        <w:t>Die Kostenschätzungen variieren erheblich je nach Quelle und Perspektive:</w:t>
      </w:r>
    </w:p>
    <w:p>
      <w:pPr>
        <w:pStyle w:val="Compact"/>
        <w:numPr>
          <w:ilvl w:val="0"/>
          <w:numId w:val="1"/>
        </w:numPr>
        <w:rPr/>
      </w:pPr>
      <w:r>
        <w:rPr>
          <w:b/>
          <w:bCs/>
        </w:rPr>
        <w:t>EU-Kommission (Minimalschätzung):</w:t>
      </w:r>
      <w:r>
        <w:rPr/>
        <w:t xml:space="preserve"> ca. 6.000–7.000 EUR pro Hochrisiko-KI-System</w:t>
      </w:r>
      <w:r>
        <w:rPr>
          <w:rStyle w:val="FootnoteReference"/>
        </w:rPr>
        <w:footnoteReference w:id="36"/>
      </w:r>
      <w:r>
        <w:rPr/>
        <w:t xml:space="preserve"> für Anbieter. Betreiber: 5.000–8.000 EUR/Jahr für menschliche Aufsicht. Konformitätsbewertung durch Dritte: 3.000–7.500 EUR.</w:t>
      </w:r>
    </w:p>
    <w:p>
      <w:pPr>
        <w:pStyle w:val="Compact"/>
        <w:numPr>
          <w:ilvl w:val="0"/>
          <w:numId w:val="1"/>
        </w:numPr>
        <w:rPr/>
      </w:pPr>
      <w:r>
        <w:rPr>
          <w:b/>
          <w:bCs/>
        </w:rPr>
        <w:t>QMS-Aufbau (größter Einzelposten):</w:t>
      </w:r>
      <w:r>
        <w:rPr/>
        <w:t xml:space="preserve"> 193.000–330.000 EUR initial, 71.400 EUR/Jahr Wartung</w:t>
      </w:r>
      <w:r>
        <w:rPr>
          <w:rStyle w:val="FootnoteReference"/>
        </w:rPr>
        <w:footnoteReference w:id="37"/>
      </w:r>
      <w:r>
        <w:rPr/>
        <w:t xml:space="preserve"> — deutlich reduziert für Unternehmen mit bestehenden ISO-Zertifizierungen.</w:t>
      </w:r>
    </w:p>
    <w:p>
      <w:pPr>
        <w:pStyle w:val="Compact"/>
        <w:numPr>
          <w:ilvl w:val="0"/>
          <w:numId w:val="1"/>
        </w:numPr>
        <w:rPr/>
      </w:pPr>
      <w:r>
        <w:rPr>
          <w:b/>
          <w:bCs/>
        </w:rPr>
        <w:t>Intellera-Consulting-Studie:</w:t>
      </w:r>
      <w:r>
        <w:rPr/>
        <w:t xml:space="preserve"> 229.000–301.000 EUR Gesamtkosten</w:t>
      </w:r>
      <w:r>
        <w:rPr>
          <w:rStyle w:val="FootnoteReference"/>
        </w:rPr>
        <w:footnoteReference w:id="38"/>
      </w:r>
      <w:r>
        <w:rPr/>
        <w:t xml:space="preserve"> für ein durchschnittliches KMU als KI-Anbieter, je nach Nutzung von EU-Unterstützungsinfrastruktur.</w:t>
      </w:r>
    </w:p>
    <w:p>
      <w:pPr>
        <w:pStyle w:val="FirstParagraph"/>
        <w:rPr/>
      </w:pPr>
      <w:r>
        <w:rPr/>
        <w:t>Zum Vergleich: Die DSGVO-Compliance kostete KMU im Durchschnitt rund 130.000 EUR. Der AI Act wird teurer geschätzt, weil neben Dokumentation auch technische Anforderungen an die KI-Systeme selbst gestellt werden.</w:t>
      </w:r>
    </w:p>
    <w:p>
      <w:pPr>
        <w:pStyle w:val="BlockText"/>
        <w:rPr/>
      </w:pPr>
      <w:r>
        <w:rPr>
          <w:b/>
          <w:bCs/>
        </w:rPr>
        <w:t>[Under-sourced]</w:t>
      </w:r>
      <w:r>
        <w:rPr/>
        <w:t xml:space="preserve"> Die genannten Kostenschätzungen basieren auf Modellrechnungen, nicht auf empirischen Erhebungen bei betroffenen Unternehmen. Belastbare Umfragen unter deutschen KMU zu tatsächlichen Compliance-Kosten liegen noch nicht vor.</w:t>
      </w:r>
      <w:bookmarkEnd w:id="41"/>
    </w:p>
    <w:p>
      <w:pPr>
        <w:pStyle w:val="Heading3"/>
        <w:rPr/>
      </w:pPr>
      <w:bookmarkStart w:id="42" w:name="__RefHeading___Toc1318_632260411"/>
      <w:bookmarkStart w:id="43" w:name="fördermöglichkeiten"/>
      <w:bookmarkEnd w:id="42"/>
      <w:r>
        <w:rPr/>
        <w:t>Fördermöglichkeiten</w:t>
      </w:r>
    </w:p>
    <w:p>
      <w:pPr>
        <w:pStyle w:val="FirstParagraph"/>
        <w:rPr/>
      </w:pPr>
      <w:r>
        <w:rPr/>
        <w:t>Mehrere Programme adressieren gezielt die Compliance-Kosten:</w:t>
      </w:r>
    </w:p>
    <w:p>
      <w:pPr>
        <w:pStyle w:val="BodyText"/>
        <w:rPr/>
      </w:pPr>
      <w:r>
        <w:rPr>
          <w:b/>
          <w:bCs/>
        </w:rPr>
        <w:t>European Digital Innovation Hubs (EDIHs):</w:t>
      </w:r>
      <w:r>
        <w:rPr/>
        <w:t xml:space="preserve"> Die EU finanziert 83 EDIHs mit insgesamt 342 Mio. EUR</w:t>
      </w:r>
      <w:r>
        <w:rPr>
          <w:rStyle w:val="FootnoteReference"/>
        </w:rPr>
        <w:footnoteReference w:id="39"/>
      </w:r>
      <w:r>
        <w:rPr/>
        <w:t xml:space="preserve"> (2025–2027), die als „First-line AI Helpdesks” kostenlose Beratung, Testinfrastruktur und Zugang zu Experten bieten.</w:t>
      </w:r>
    </w:p>
    <w:p>
      <w:pPr>
        <w:pStyle w:val="BodyText"/>
        <w:rPr/>
      </w:pPr>
      <w:r>
        <w:rPr>
          <w:b/>
          <w:bCs/>
        </w:rPr>
        <w:t>Regulatory Sandboxes:</w:t>
      </w:r>
      <w:r>
        <w:rPr/>
        <w:t xml:space="preserve"> Jeder Mitgliedstaat muss bis August 2026 mindestens eine einrichten. KMU erhalten kostenlosen Zugang und sind bei gutem Glauben vor Verwaltungsstrafen geschützt</w:t>
      </w:r>
      <w:r>
        <w:rPr>
          <w:rStyle w:val="FootnoteReference"/>
        </w:rPr>
        <w:footnoteReference w:id="40"/>
      </w:r>
      <w:r>
        <w:rPr/>
        <w:t>.</w:t>
      </w:r>
    </w:p>
    <w:p>
      <w:pPr>
        <w:pStyle w:val="BodyText"/>
        <w:rPr/>
      </w:pPr>
      <w:r>
        <w:rPr>
          <w:b/>
          <w:bCs/>
        </w:rPr>
        <w:t>Bavarian AI Act Accelerator:</w:t>
      </w:r>
      <w:r>
        <w:rPr/>
        <w:t xml:space="preserve"> Bayern fördert mit 1,6 Mio. EUR ein Programm</w:t>
      </w:r>
      <w:r>
        <w:rPr>
          <w:rStyle w:val="FootnoteReference"/>
        </w:rPr>
        <w:footnoteReference w:id="41"/>
      </w:r>
      <w:r>
        <w:rPr/>
        <w:t xml:space="preserve"> (bis Dezember 2026), das KMU bei Risikoklassifizierung, Dokumentation und Trainings unterstützt — getragen von appliedAI, LMU und TU München.</w:t>
      </w:r>
    </w:p>
    <w:p>
      <w:pPr>
        <w:pStyle w:val="BodyText"/>
        <w:rPr/>
      </w:pPr>
      <w:r>
        <w:rPr>
          <w:b/>
          <w:bCs/>
        </w:rPr>
        <w:t>Mittelstand-Digital Zentren:</w:t>
      </w:r>
      <w:r>
        <w:rPr/>
        <w:t xml:space="preserve"> Das BMWK-Programm</w:t>
      </w:r>
      <w:r>
        <w:rPr>
          <w:rStyle w:val="FootnoteReference"/>
        </w:rPr>
        <w:footnoteReference w:id="42"/>
      </w:r>
      <w:r>
        <w:rPr/>
        <w:t xml:space="preserve"> bietet kostenlose Beratungen, Workshops und KI-Trainer für KMU.</w:t>
      </w:r>
    </w:p>
    <w:p>
      <w:pPr>
        <w:pStyle w:val="BodyText"/>
        <w:rPr/>
      </w:pPr>
      <w:r>
        <w:rPr>
          <w:b/>
          <w:bCs/>
        </w:rPr>
        <w:t>BridgeAI:</w:t>
      </w:r>
      <w:r>
        <w:rPr/>
        <w:t xml:space="preserve"> Ein BMWK-gefördertes Projekt</w:t>
      </w:r>
      <w:r>
        <w:rPr>
          <w:rStyle w:val="FootnoteReference"/>
        </w:rPr>
        <w:footnoteReference w:id="43"/>
      </w:r>
      <w:r>
        <w:rPr/>
        <w:t xml:space="preserve"> mit modularen Schulungsmodulen, Kompetenztest und Lernpfaden, zugeschnitten auf Vorkenntnisse und Rolle.</w:t>
      </w:r>
      <w:bookmarkEnd w:id="37"/>
      <w:bookmarkEnd w:id="43"/>
    </w:p>
    <w:p>
      <w:pPr>
        <w:pStyle w:val="Heading2"/>
        <w:rPr/>
      </w:pPr>
      <w:bookmarkStart w:id="44" w:name="__RefHeading___Toc1320_632260411"/>
      <w:bookmarkStart w:id="45" w:name="offene-fragen-und-ausblick"/>
      <w:bookmarkEnd w:id="44"/>
      <w:r>
        <w:rPr/>
        <w:t>Offene Fragen und Ausblick</w:t>
      </w:r>
    </w:p>
    <w:p>
      <w:pPr>
        <w:pStyle w:val="FirstParagraph"/>
        <w:rPr/>
      </w:pPr>
      <w:r>
        <w:rPr>
          <w:b/>
          <w:bCs/>
        </w:rPr>
        <w:t>Harmonisierte Standards fehlen noch.</w:t>
      </w:r>
      <w:r>
        <w:rPr/>
        <w:t xml:space="preserve"> Die technischen Normen von CEN/CENELEC, die konkretisieren, wie die Anforderungen umzusetzen sind, werden voraussichtlich nicht vor Ende 2026 verfügbar sein. Ohne diese Standards bleibt die praktische Compliance-Umsetzung für viele KMU abstrakt.</w:t>
      </w:r>
    </w:p>
    <w:p>
      <w:pPr>
        <w:pStyle w:val="BodyText"/>
        <w:rPr/>
      </w:pPr>
      <w:r>
        <w:rPr>
          <w:b/>
          <w:bCs/>
        </w:rPr>
        <w:t>Vereinfachtes Dokumentationsformular für KMU:</w:t>
      </w:r>
      <w:r>
        <w:rPr/>
        <w:t xml:space="preserve"> Artikel 11 sieht ein vereinfachtes Formular vor, das die EU-Kommission bereitstellen muss. Zum Zeitpunkt dieser Recherche (April 2026) ist es noch nicht veröffentlicht.</w:t>
      </w:r>
    </w:p>
    <w:p>
      <w:pPr>
        <w:pStyle w:val="BodyText"/>
        <w:rPr/>
      </w:pPr>
      <w:r>
        <w:rPr>
          <w:b/>
          <w:bCs/>
        </w:rPr>
        <w:t>Nationale Durchführung in Deutschland:</w:t>
      </w:r>
      <w:r>
        <w:rPr/>
        <w:t xml:space="preserve"> Die Bundesnetzagentur (BNetzA) ist als nationale Aufsichtsbehörde benannt, aber konkrete Durchsetzungsmodalitäten, Sandbox-Implementierung und Gebührenordnungen sind noch offen.</w:t>
      </w:r>
    </w:p>
    <w:p>
      <w:pPr>
        <w:pStyle w:val="BodyText"/>
        <w:rPr/>
      </w:pPr>
      <w:r>
        <w:rPr>
          <w:b/>
          <w:bCs/>
        </w:rPr>
        <w:t>Digital Omnibus noch nicht final:</w:t>
      </w:r>
      <w:r>
        <w:rPr/>
        <w:t xml:space="preserve"> Die vorgesehenen Erleichterungen (Fristverschiebung, vereinfachtes QMS, erweiterter KMU-Schutz auf Small Mid-Caps) befinden sich im Trilog-Verfahren. Die zyprische Ratspräsidentschaft strebt eine Einigung bis Mai 2026 an. KMU sollten vorsichtshalber die ursprünglichen Fristen im Blick behalten.</w:t>
      </w:r>
    </w:p>
    <w:p>
      <w:pPr>
        <w:pStyle w:val="BodyText"/>
        <w:rPr/>
      </w:pPr>
      <w:r>
        <w:rPr>
          <w:b/>
          <w:bCs/>
        </w:rPr>
        <w:t>Widersprüchliche Kostenschätzungen:</w:t>
      </w:r>
      <w:r>
        <w:rPr/>
        <w:t xml:space="preserve"> Die EU-Kommission beziffert Marginalkosten mit 6.000–7.000 EUR pro System, die Industrie rechnet mit 200.000–500.000 EUR Gesamtkosten. Der Unterschied erklärt sich durch QMS-Aufbau und organisatorische Kosten, die in den Kommissionsschätzungen fehlen.</w:t>
      </w:r>
    </w:p>
    <w:p>
      <w:pPr>
        <w:pStyle w:val="BodyText"/>
        <w:spacing w:before="180" w:after="180"/>
        <w:rPr/>
      </w:pPr>
      <w:r>
        <w:rPr>
          <w:i/>
          <w:iCs/>
        </w:rPr>
        <w:t xml:space="preserve">Erstellt mit </w:t>
      </w:r>
      <w:hyperlink r:id="rId2">
        <w:r>
          <w:rPr>
            <w:rStyle w:val="Hyperlink"/>
            <w:i/>
            <w:iCs/>
          </w:rPr>
          <w:t>Deep Researcher</w:t>
        </w:r>
      </w:hyperlink>
      <w:r>
        <w:rPr>
          <w:i/>
          <w:iCs/>
        </w:rPr>
        <w:t xml:space="preserve"> von Leon Beckert</w:t>
      </w:r>
      <w:bookmarkEnd w:id="1"/>
      <w:bookmarkEnd w:id="45"/>
    </w:p>
    <w:sectPr>
      <w:footerReference w:type="even" r:id="rId3"/>
      <w:footerReference w:type="default" r:id="rId4"/>
      <w:footerReference w:type="first" r:id="rId5"/>
      <w:footnotePr>
        <w:numFmt w:val="decimal"/>
        <w:numRestart w:val="eachSect"/>
      </w:footnotePr>
      <w:type w:val="nextPage"/>
      <w:pgSz w:w="12240" w:h="15840"/>
      <w:pgMar w:left="1440" w:right="1440" w:gutter="0" w:header="0" w:top="1440" w:footer="72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1"/>
    <w:family w:val="auto"/>
    <w:pitch w:val="variable"/>
  </w:font>
  <w:font w:name="Courier New">
    <w:charset w:val="01"/>
    <w:family w:val="modern"/>
    <w:pitch w:val="fixed"/>
  </w:font>
  <w:font w:name="Wingding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i/>
        <w:iCs/>
      </w:rPr>
      <w:fldChar w:fldCharType="begin"/>
    </w:r>
    <w:r>
      <w:rPr>
        <w:i/>
        <w:iCs/>
      </w:rPr>
      <w:instrText xml:space="preserve"> PAGE </w:instrText>
    </w:r>
    <w:r>
      <w:rPr>
        <w:i/>
        <w:iCs/>
      </w:rPr>
      <w:fldChar w:fldCharType="separate"/>
    </w:r>
    <w:r>
      <w:rPr>
        <w:i/>
        <w:iCs/>
      </w:rPr>
      <w:t>10</w:t>
    </w:r>
    <w:r>
      <w:rPr>
        <w:i/>
        <w:iCs/>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i/>
        <w:iCs/>
      </w:rPr>
      <w:fldChar w:fldCharType="begin"/>
    </w:r>
    <w:r>
      <w:rPr>
        <w:i/>
        <w:iCs/>
      </w:rPr>
      <w:instrText xml:space="preserve"> PAGE </w:instrText>
    </w:r>
    <w:r>
      <w:rPr>
        <w:i/>
        <w:iCs/>
      </w:rPr>
      <w:fldChar w:fldCharType="separate"/>
    </w:r>
    <w:r>
      <w:rPr>
        <w:i/>
        <w:iCs/>
      </w:rPr>
      <w:t>10</w:t>
    </w:r>
    <w:r>
      <w:rPr>
        <w:i/>
        <w:iCs/>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hyperlink r:id="rId1">
        <w:r>
          <w:rPr>
            <w:rStyle w:val="Hyperlink"/>
          </w:rPr>
          <w:t>EU AI Act Volltext (EUR-Lex)</w:t>
        </w:r>
      </w:hyperlink>
      <w:r>
        <w:rPr/>
        <w:t xml:space="preserve"> — Behördenbericht, Juli 2024</w:t>
      </w:r>
    </w:p>
  </w:footnote>
  <w:footnote w:id="3">
    <w:p>
      <w:pPr>
        <w:pStyle w:val="FootnoteText"/>
        <w:spacing w:before="0" w:after="200"/>
        <w:rPr/>
      </w:pPr>
      <w:r>
        <w:rPr>
          <w:rStyle w:val="FootnoteCharacters"/>
        </w:rPr>
        <w:footnoteRef/>
      </w:r>
      <w:r>
        <w:rPr/>
        <w:t xml:space="preserve"> </w:t>
      </w:r>
      <w:hyperlink r:id="rId2">
        <w:r>
          <w:rPr>
            <w:rStyle w:val="Hyperlink"/>
          </w:rPr>
          <w:t>EU AI Act Service Desk — Artikel 62</w:t>
        </w:r>
      </w:hyperlink>
      <w:r>
        <w:rPr/>
        <w:t xml:space="preserve"> — Behördenbericht, laufend</w:t>
      </w:r>
    </w:p>
  </w:footnote>
  <w:footnote w:id="4">
    <w:p>
      <w:pPr>
        <w:pStyle w:val="FootnoteText"/>
        <w:spacing w:before="0" w:after="200"/>
        <w:rPr/>
      </w:pPr>
      <w:r>
        <w:rPr>
          <w:rStyle w:val="FootnoteCharacters"/>
        </w:rPr>
        <w:footnoteRef/>
      </w:r>
      <w:r>
        <w:rPr/>
        <w:t xml:space="preserve"> </w:t>
      </w:r>
      <w:hyperlink r:id="rId3">
        <w:r>
          <w:rPr>
            <w:rStyle w:val="Hyperlink"/>
          </w:rPr>
          <w:t>Ebner Stolz — Digital Omnibus Analyse</w:t>
        </w:r>
      </w:hyperlink>
      <w:r>
        <w:rPr/>
        <w:t xml:space="preserve"> — Branchenbericht, März 2026</w:t>
      </w:r>
    </w:p>
  </w:footnote>
  <w:footnote w:id="5">
    <w:p>
      <w:pPr>
        <w:pStyle w:val="FootnoteText"/>
        <w:spacing w:before="0" w:after="200"/>
        <w:rPr/>
      </w:pPr>
      <w:r>
        <w:rPr>
          <w:rStyle w:val="FootnoteCharacters"/>
        </w:rPr>
        <w:footnoteRef/>
      </w:r>
      <w:r>
        <w:rPr/>
        <w:t xml:space="preserve"> </w:t>
      </w:r>
      <w:hyperlink r:id="rId4">
        <w:r>
          <w:rPr>
            <w:rStyle w:val="Hyperlink"/>
          </w:rPr>
          <w:t>CEPS — Costs for the EU’s AI Act</w:t>
        </w:r>
      </w:hyperlink>
      <w:r>
        <w:rPr/>
        <w:t xml:space="preserve"> — Branchenbericht, 2023</w:t>
      </w:r>
    </w:p>
  </w:footnote>
  <w:footnote w:id="6">
    <w:p>
      <w:pPr>
        <w:pStyle w:val="FootnoteText"/>
        <w:spacing w:before="0" w:after="200"/>
        <w:rPr/>
      </w:pPr>
      <w:r>
        <w:rPr>
          <w:rStyle w:val="FootnoteCharacters"/>
        </w:rPr>
        <w:footnoteRef/>
      </w:r>
      <w:r>
        <w:rPr/>
        <w:t xml:space="preserve"> </w:t>
      </w:r>
      <w:hyperlink r:id="rId5">
        <w:r>
          <w:rPr>
            <w:rStyle w:val="Hyperlink"/>
          </w:rPr>
          <w:t>HÄRTING — Provider or Deployer?</w:t>
        </w:r>
      </w:hyperlink>
      <w:r>
        <w:rPr/>
        <w:t xml:space="preserve"> — Branchenbericht, 2025</w:t>
      </w:r>
    </w:p>
  </w:footnote>
  <w:footnote w:id="7">
    <w:p>
      <w:pPr>
        <w:pStyle w:val="FootnoteText"/>
        <w:spacing w:before="0" w:after="200"/>
        <w:rPr/>
      </w:pPr>
      <w:r>
        <w:rPr>
          <w:rStyle w:val="FootnoteCharacters"/>
        </w:rPr>
        <w:footnoteRef/>
      </w:r>
      <w:r>
        <w:rPr/>
        <w:t xml:space="preserve"> </w:t>
      </w:r>
      <w:hyperlink r:id="rId6">
        <w:r>
          <w:rPr>
            <w:rStyle w:val="Hyperlink"/>
          </w:rPr>
          <w:t>EU AI Act Volltext (EUR-Lex)</w:t>
        </w:r>
      </w:hyperlink>
      <w:r>
        <w:rPr/>
        <w:t xml:space="preserve"> — Behördenbericht, Juli 2024</w:t>
      </w:r>
    </w:p>
  </w:footnote>
  <w:footnote w:id="8">
    <w:p>
      <w:pPr>
        <w:pStyle w:val="FootnoteText"/>
        <w:spacing w:before="0" w:after="200"/>
        <w:rPr/>
      </w:pPr>
      <w:r>
        <w:rPr>
          <w:rStyle w:val="FootnoteCharacters"/>
        </w:rPr>
        <w:footnoteRef/>
      </w:r>
      <w:r>
        <w:rPr/>
        <w:t xml:space="preserve"> </w:t>
      </w:r>
      <w:hyperlink r:id="rId7">
        <w:r>
          <w:rPr>
            <w:rStyle w:val="Hyperlink"/>
          </w:rPr>
          <w:t>EU-Kommission — Regulatory Framework for AI</w:t>
        </w:r>
      </w:hyperlink>
      <w:r>
        <w:rPr/>
        <w:t xml:space="preserve"> — Behördenbericht, laufend aktualisiert</w:t>
      </w:r>
    </w:p>
  </w:footnote>
  <w:footnote w:id="9">
    <w:p>
      <w:pPr>
        <w:pStyle w:val="FootnoteText"/>
        <w:spacing w:before="0" w:after="200"/>
        <w:rPr/>
      </w:pPr>
      <w:r>
        <w:rPr>
          <w:rStyle w:val="FootnoteCharacters"/>
        </w:rPr>
        <w:footnoteRef/>
      </w:r>
      <w:r>
        <w:rPr/>
        <w:t xml:space="preserve"> </w:t>
      </w:r>
      <w:hyperlink r:id="rId8">
        <w:r>
          <w:rPr>
            <w:rStyle w:val="Hyperlink"/>
          </w:rPr>
          <w:t>Ebner Stolz — Digital Omnibus Analyse</w:t>
        </w:r>
      </w:hyperlink>
      <w:r>
        <w:rPr/>
        <w:t xml:space="preserve"> — Branchenbericht, März 2026</w:t>
      </w:r>
    </w:p>
  </w:footnote>
  <w:footnote w:id="10">
    <w:p>
      <w:pPr>
        <w:pStyle w:val="FootnoteText"/>
        <w:spacing w:before="0" w:after="200"/>
        <w:rPr/>
      </w:pPr>
      <w:r>
        <w:rPr>
          <w:rStyle w:val="FootnoteCharacters"/>
        </w:rPr>
        <w:footnoteRef/>
      </w:r>
      <w:r>
        <w:rPr/>
        <w:t xml:space="preserve"> </w:t>
      </w:r>
      <w:hyperlink r:id="rId9">
        <w:r>
          <w:rPr>
            <w:rStyle w:val="Hyperlink"/>
          </w:rPr>
          <w:t>AI Act High-Level Summary</w:t>
        </w:r>
      </w:hyperlink>
      <w:r>
        <w:rPr/>
        <w:t xml:space="preserve"> — Official Documentation, laufend aktualisiert</w:t>
      </w:r>
    </w:p>
  </w:footnote>
  <w:footnote w:id="11">
    <w:p>
      <w:pPr>
        <w:pStyle w:val="FootnoteText"/>
        <w:spacing w:before="0" w:after="200"/>
        <w:rPr/>
      </w:pPr>
      <w:r>
        <w:rPr>
          <w:rStyle w:val="FootnoteCharacters"/>
        </w:rPr>
        <w:footnoteRef/>
      </w:r>
      <w:r>
        <w:rPr/>
        <w:t xml:space="preserve"> </w:t>
      </w:r>
      <w:hyperlink r:id="rId10">
        <w:r>
          <w:rPr>
            <w:rStyle w:val="Hyperlink"/>
          </w:rPr>
          <w:t>AI Act High-Level Summary</w:t>
        </w:r>
      </w:hyperlink>
      <w:r>
        <w:rPr/>
        <w:t xml:space="preserve"> — Official Documentation, laufend aktualisiert</w:t>
      </w:r>
    </w:p>
  </w:footnote>
  <w:footnote w:id="12">
    <w:p>
      <w:pPr>
        <w:pStyle w:val="FootnoteText"/>
        <w:spacing w:before="0" w:after="200"/>
        <w:rPr/>
      </w:pPr>
      <w:r>
        <w:rPr>
          <w:rStyle w:val="FootnoteCharacters"/>
        </w:rPr>
        <w:footnoteRef/>
      </w:r>
      <w:r>
        <w:rPr/>
        <w:t xml:space="preserve"> </w:t>
      </w:r>
      <w:hyperlink r:id="rId11">
        <w:r>
          <w:rPr>
            <w:rStyle w:val="Hyperlink"/>
          </w:rPr>
          <w:t>Mittelstand-Digital — AI Act Überblick</w:t>
        </w:r>
      </w:hyperlink>
      <w:r>
        <w:rPr/>
        <w:t xml:space="preserve"> — Behördenbericht, 2025</w:t>
      </w:r>
    </w:p>
  </w:footnote>
  <w:footnote w:id="13">
    <w:p>
      <w:pPr>
        <w:pStyle w:val="FootnoteText"/>
        <w:spacing w:before="0" w:after="200"/>
        <w:rPr/>
      </w:pPr>
      <w:r>
        <w:rPr>
          <w:rStyle w:val="FootnoteCharacters"/>
        </w:rPr>
        <w:footnoteRef/>
      </w:r>
      <w:r>
        <w:rPr/>
        <w:t xml:space="preserve"> </w:t>
      </w:r>
      <w:hyperlink r:id="rId12">
        <w:r>
          <w:rPr>
            <w:rStyle w:val="Hyperlink"/>
          </w:rPr>
          <w:t>Glocert — Operator Roles</w:t>
        </w:r>
      </w:hyperlink>
      <w:r>
        <w:rPr/>
        <w:t xml:space="preserve"> — Branchenbericht, 2025</w:t>
      </w:r>
    </w:p>
  </w:footnote>
  <w:footnote w:id="14">
    <w:p>
      <w:pPr>
        <w:pStyle w:val="FootnoteText"/>
        <w:spacing w:before="0" w:after="200"/>
        <w:rPr/>
      </w:pPr>
      <w:r>
        <w:rPr>
          <w:rStyle w:val="FootnoteCharacters"/>
        </w:rPr>
        <w:footnoteRef/>
      </w:r>
      <w:r>
        <w:rPr/>
        <w:t xml:space="preserve"> </w:t>
      </w:r>
      <w:hyperlink r:id="rId13">
        <w:r>
          <w:rPr>
            <w:rStyle w:val="Hyperlink"/>
          </w:rPr>
          <w:t>Privacy Needle — Why Small Startups Are Not Exempt</w:t>
        </w:r>
      </w:hyperlink>
      <w:r>
        <w:rPr/>
        <w:t xml:space="preserve"> — Blogbeitrag, 2025</w:t>
      </w:r>
    </w:p>
  </w:footnote>
  <w:footnote w:id="15">
    <w:p>
      <w:pPr>
        <w:pStyle w:val="FootnoteText"/>
        <w:spacing w:before="0" w:after="200"/>
        <w:rPr/>
      </w:pPr>
      <w:r>
        <w:rPr>
          <w:rStyle w:val="FootnoteCharacters"/>
        </w:rPr>
        <w:footnoteRef/>
      </w:r>
      <w:r>
        <w:rPr/>
        <w:t xml:space="preserve"> </w:t>
      </w:r>
      <w:hyperlink r:id="rId14">
        <w:r>
          <w:rPr>
            <w:rStyle w:val="Hyperlink"/>
          </w:rPr>
          <w:t>HÄRTING — Provider or Deployer?</w:t>
        </w:r>
      </w:hyperlink>
      <w:r>
        <w:rPr/>
        <w:t xml:space="preserve"> — Branchenbericht, 2025</w:t>
      </w:r>
    </w:p>
  </w:footnote>
  <w:footnote w:id="16">
    <w:p>
      <w:pPr>
        <w:pStyle w:val="FootnoteText"/>
        <w:spacing w:before="0" w:after="200"/>
        <w:rPr/>
      </w:pPr>
      <w:r>
        <w:rPr>
          <w:rStyle w:val="FootnoteCharacters"/>
        </w:rPr>
        <w:footnoteRef/>
      </w:r>
      <w:r>
        <w:rPr/>
        <w:t xml:space="preserve"> </w:t>
      </w:r>
      <w:hyperlink r:id="rId15">
        <w:r>
          <w:rPr>
            <w:rStyle w:val="Hyperlink"/>
          </w:rPr>
          <w:t>Hugging Face — EU AI Act Open Source Guide</w:t>
        </w:r>
      </w:hyperlink>
      <w:r>
        <w:rPr/>
        <w:t xml:space="preserve"> — Branchenbericht, 2025</w:t>
      </w:r>
    </w:p>
  </w:footnote>
  <w:footnote w:id="17">
    <w:p>
      <w:pPr>
        <w:pStyle w:val="FootnoteText"/>
        <w:spacing w:before="0" w:after="200"/>
        <w:rPr/>
      </w:pPr>
      <w:r>
        <w:rPr>
          <w:rStyle w:val="FootnoteCharacters"/>
        </w:rPr>
        <w:footnoteRef/>
      </w:r>
      <w:r>
        <w:rPr/>
        <w:t xml:space="preserve"> </w:t>
      </w:r>
      <w:hyperlink r:id="rId16">
        <w:r>
          <w:rPr>
            <w:rStyle w:val="Hyperlink"/>
          </w:rPr>
          <w:t>EU AI Act Service Desk — Artikel 62</w:t>
        </w:r>
      </w:hyperlink>
      <w:r>
        <w:rPr/>
        <w:t xml:space="preserve"> — Behördenbericht, laufend</w:t>
      </w:r>
    </w:p>
  </w:footnote>
  <w:footnote w:id="18">
    <w:p>
      <w:pPr>
        <w:pStyle w:val="FootnoteText"/>
        <w:spacing w:before="0" w:after="200"/>
        <w:rPr/>
      </w:pPr>
      <w:r>
        <w:rPr>
          <w:rStyle w:val="FootnoteCharacters"/>
        </w:rPr>
        <w:footnoteRef/>
      </w:r>
      <w:r>
        <w:rPr/>
        <w:t xml:space="preserve"> </w:t>
      </w:r>
      <w:hyperlink r:id="rId17">
        <w:r>
          <w:rPr>
            <w:rStyle w:val="Hyperlink"/>
          </w:rPr>
          <w:t>Holistic AI — SME Support</w:t>
        </w:r>
      </w:hyperlink>
      <w:r>
        <w:rPr/>
        <w:t xml:space="preserve"> — Branchenbericht, 2024</w:t>
      </w:r>
    </w:p>
  </w:footnote>
  <w:footnote w:id="19">
    <w:p>
      <w:pPr>
        <w:pStyle w:val="FootnoteText"/>
        <w:spacing w:before="0" w:after="200"/>
        <w:rPr/>
      </w:pPr>
      <w:r>
        <w:rPr>
          <w:rStyle w:val="FootnoteCharacters"/>
        </w:rPr>
        <w:footnoteRef/>
      </w:r>
      <w:r>
        <w:rPr/>
        <w:t xml:space="preserve"> </w:t>
      </w:r>
      <w:hyperlink r:id="rId18">
        <w:r>
          <w:rPr>
            <w:rStyle w:val="Hyperlink"/>
          </w:rPr>
          <w:t>AI Act — Artikel 57 (Sandboxes)</w:t>
        </w:r>
      </w:hyperlink>
      <w:r>
        <w:rPr/>
        <w:t xml:space="preserve"> — Official Documentation, 2024</w:t>
      </w:r>
    </w:p>
  </w:footnote>
  <w:footnote w:id="20">
    <w:p>
      <w:pPr>
        <w:pStyle w:val="FootnoteText"/>
        <w:spacing w:before="0" w:after="200"/>
        <w:rPr/>
      </w:pPr>
      <w:r>
        <w:rPr>
          <w:rStyle w:val="FootnoteCharacters"/>
        </w:rPr>
        <w:footnoteRef/>
      </w:r>
      <w:r>
        <w:rPr/>
        <w:t xml:space="preserve"> </w:t>
      </w:r>
      <w:hyperlink r:id="rId19">
        <w:r>
          <w:rPr>
            <w:rStyle w:val="Hyperlink"/>
          </w:rPr>
          <w:t>Holistic AI — SME Support</w:t>
        </w:r>
      </w:hyperlink>
      <w:r>
        <w:rPr/>
        <w:t xml:space="preserve"> — Branchenbericht, 2024</w:t>
      </w:r>
    </w:p>
  </w:footnote>
  <w:footnote w:id="21">
    <w:p>
      <w:pPr>
        <w:pStyle w:val="FootnoteText"/>
        <w:spacing w:before="0" w:after="200"/>
        <w:rPr/>
      </w:pPr>
      <w:r>
        <w:rPr>
          <w:rStyle w:val="FootnoteCharacters"/>
        </w:rPr>
        <w:footnoteRef/>
      </w:r>
      <w:r>
        <w:rPr/>
        <w:t xml:space="preserve"> </w:t>
      </w:r>
      <w:hyperlink r:id="rId20">
        <w:r>
          <w:rPr>
            <w:rStyle w:val="Hyperlink"/>
          </w:rPr>
          <w:t>Cooley — Digital Omnibus Impact</w:t>
        </w:r>
      </w:hyperlink>
      <w:r>
        <w:rPr/>
        <w:t xml:space="preserve"> — Branchenbericht, November 2025</w:t>
      </w:r>
    </w:p>
  </w:footnote>
  <w:footnote w:id="22">
    <w:p>
      <w:pPr>
        <w:pStyle w:val="FootnoteText"/>
        <w:spacing w:before="0" w:after="200"/>
        <w:rPr/>
      </w:pPr>
      <w:r>
        <w:rPr>
          <w:rStyle w:val="FootnoteCharacters"/>
        </w:rPr>
        <w:footnoteRef/>
      </w:r>
      <w:r>
        <w:rPr/>
        <w:t xml:space="preserve"> </w:t>
      </w:r>
      <w:hyperlink r:id="rId21">
        <w:r>
          <w:rPr>
            <w:rStyle w:val="Hyperlink"/>
          </w:rPr>
          <w:t>Hugging Face — EU AI Act Open Source Guide</w:t>
        </w:r>
      </w:hyperlink>
      <w:r>
        <w:rPr/>
        <w:t xml:space="preserve"> — Branchenbericht, 2025</w:t>
      </w:r>
    </w:p>
  </w:footnote>
  <w:footnote w:id="23">
    <w:p>
      <w:pPr>
        <w:pStyle w:val="FootnoteText"/>
        <w:spacing w:before="0" w:after="200"/>
        <w:rPr/>
      </w:pPr>
      <w:r>
        <w:rPr>
          <w:rStyle w:val="FootnoteCharacters"/>
        </w:rPr>
        <w:footnoteRef/>
      </w:r>
      <w:r>
        <w:rPr/>
        <w:t xml:space="preserve"> </w:t>
      </w:r>
      <w:hyperlink r:id="rId22">
        <w:r>
          <w:rPr>
            <w:rStyle w:val="Hyperlink"/>
          </w:rPr>
          <w:t>Hugging Face — EU AI Act Open Source Guide</w:t>
        </w:r>
      </w:hyperlink>
      <w:r>
        <w:rPr/>
        <w:t xml:space="preserve"> — Branchenbericht, 2025</w:t>
      </w:r>
    </w:p>
  </w:footnote>
  <w:footnote w:id="24">
    <w:p>
      <w:pPr>
        <w:pStyle w:val="FootnoteText"/>
        <w:spacing w:before="0" w:after="200"/>
        <w:rPr/>
      </w:pPr>
      <w:r>
        <w:rPr>
          <w:rStyle w:val="FootnoteCharacters"/>
        </w:rPr>
        <w:footnoteRef/>
      </w:r>
      <w:r>
        <w:rPr/>
        <w:t xml:space="preserve"> </w:t>
      </w:r>
      <w:hyperlink r:id="rId23">
        <w:r>
          <w:rPr>
            <w:rStyle w:val="Hyperlink"/>
          </w:rPr>
          <w:t>Linux Foundation Europe — AI Act Explainer</w:t>
        </w:r>
      </w:hyperlink>
      <w:r>
        <w:rPr/>
        <w:t xml:space="preserve"> — Branchenbericht, 2025</w:t>
      </w:r>
    </w:p>
  </w:footnote>
  <w:footnote w:id="25">
    <w:p>
      <w:pPr>
        <w:pStyle w:val="FootnoteText"/>
        <w:spacing w:before="0" w:after="200"/>
        <w:rPr/>
      </w:pPr>
      <w:r>
        <w:rPr>
          <w:rStyle w:val="FootnoteCharacters"/>
        </w:rPr>
        <w:footnoteRef/>
      </w:r>
      <w:r>
        <w:rPr/>
        <w:t xml:space="preserve"> </w:t>
      </w:r>
      <w:hyperlink r:id="rId24">
        <w:r>
          <w:rPr>
            <w:rStyle w:val="Hyperlink"/>
          </w:rPr>
          <w:t>Secjur — EU AI Act und Open-Source-Entwickler</w:t>
        </w:r>
      </w:hyperlink>
      <w:r>
        <w:rPr/>
        <w:t xml:space="preserve"> — Branchenbericht, 2025</w:t>
      </w:r>
    </w:p>
  </w:footnote>
  <w:footnote w:id="26">
    <w:p>
      <w:pPr>
        <w:pStyle w:val="FootnoteText"/>
        <w:spacing w:before="0" w:after="200"/>
        <w:rPr/>
      </w:pPr>
      <w:r>
        <w:rPr>
          <w:rStyle w:val="FootnoteCharacters"/>
        </w:rPr>
        <w:footnoteRef/>
      </w:r>
      <w:r>
        <w:rPr/>
        <w:t xml:space="preserve"> </w:t>
      </w:r>
      <w:hyperlink r:id="rId25">
        <w:r>
          <w:rPr>
            <w:rStyle w:val="Hyperlink"/>
          </w:rPr>
          <w:t>EU-Kommission — AI Literacy FAQ</w:t>
        </w:r>
      </w:hyperlink>
      <w:r>
        <w:rPr/>
        <w:t xml:space="preserve"> — Behördenbericht, 2025</w:t>
      </w:r>
    </w:p>
  </w:footnote>
  <w:footnote w:id="27">
    <w:p>
      <w:pPr>
        <w:pStyle w:val="FootnoteText"/>
        <w:spacing w:before="0" w:after="200"/>
        <w:rPr/>
      </w:pPr>
      <w:r>
        <w:rPr>
          <w:rStyle w:val="FootnoteCharacters"/>
        </w:rPr>
        <w:footnoteRef/>
      </w:r>
      <w:r>
        <w:rPr/>
        <w:t xml:space="preserve"> </w:t>
      </w:r>
      <w:hyperlink r:id="rId26">
        <w:r>
          <w:rPr>
            <w:rStyle w:val="Hyperlink"/>
          </w:rPr>
          <w:t>IHK Schleswig-Holstein — KI-Schulungspflicht</w:t>
        </w:r>
      </w:hyperlink>
      <w:r>
        <w:rPr/>
        <w:t xml:space="preserve"> — Branchenbericht, 2025</w:t>
      </w:r>
    </w:p>
  </w:footnote>
  <w:footnote w:id="28">
    <w:p>
      <w:pPr>
        <w:pStyle w:val="FootnoteText"/>
        <w:spacing w:before="0" w:after="200"/>
        <w:rPr/>
      </w:pPr>
      <w:r>
        <w:rPr>
          <w:rStyle w:val="FootnoteCharacters"/>
        </w:rPr>
        <w:footnoteRef/>
      </w:r>
      <w:r>
        <w:rPr/>
        <w:t xml:space="preserve"> </w:t>
      </w:r>
      <w:hyperlink r:id="rId27">
        <w:r>
          <w:rPr>
            <w:rStyle w:val="Hyperlink"/>
          </w:rPr>
          <w:t>Sage — EU AI Act für den Mittelstand</w:t>
        </w:r>
      </w:hyperlink>
      <w:r>
        <w:rPr/>
        <w:t xml:space="preserve"> — Branchenbericht, 2026</w:t>
      </w:r>
    </w:p>
  </w:footnote>
  <w:footnote w:id="29">
    <w:p>
      <w:pPr>
        <w:pStyle w:val="FootnoteText"/>
        <w:spacing w:before="0" w:after="200"/>
        <w:rPr/>
      </w:pPr>
      <w:r>
        <w:rPr>
          <w:rStyle w:val="FootnoteCharacters"/>
        </w:rPr>
        <w:footnoteRef/>
      </w:r>
      <w:r>
        <w:rPr/>
        <w:t xml:space="preserve"> </w:t>
      </w:r>
      <w:hyperlink r:id="rId28">
        <w:r>
          <w:rPr>
            <w:rStyle w:val="Hyperlink"/>
          </w:rPr>
          <w:t>Sage — EU AI Act für den Mittelstand</w:t>
        </w:r>
      </w:hyperlink>
      <w:r>
        <w:rPr/>
        <w:t xml:space="preserve"> — Branchenbericht, 2026</w:t>
      </w:r>
    </w:p>
  </w:footnote>
  <w:footnote w:id="30">
    <w:p>
      <w:pPr>
        <w:pStyle w:val="FootnoteText"/>
        <w:spacing w:before="0" w:after="200"/>
        <w:rPr/>
      </w:pPr>
      <w:r>
        <w:rPr>
          <w:rStyle w:val="FootnoteCharacters"/>
        </w:rPr>
        <w:footnoteRef/>
      </w:r>
      <w:r>
        <w:rPr/>
        <w:t xml:space="preserve"> </w:t>
      </w:r>
      <w:hyperlink r:id="rId29">
        <w:r>
          <w:rPr>
            <w:rStyle w:val="Hyperlink"/>
          </w:rPr>
          <w:t>AI Act High-Level Summary</w:t>
        </w:r>
      </w:hyperlink>
      <w:r>
        <w:rPr/>
        <w:t xml:space="preserve"> — Official Documentation, laufend aktualisiert</w:t>
      </w:r>
    </w:p>
  </w:footnote>
  <w:footnote w:id="31">
    <w:p>
      <w:pPr>
        <w:pStyle w:val="FootnoteText"/>
        <w:spacing w:before="0" w:after="200"/>
        <w:rPr/>
      </w:pPr>
      <w:r>
        <w:rPr>
          <w:rStyle w:val="FootnoteCharacters"/>
        </w:rPr>
        <w:footnoteRef/>
      </w:r>
      <w:r>
        <w:rPr/>
        <w:t xml:space="preserve"> </w:t>
      </w:r>
      <w:hyperlink r:id="rId30">
        <w:r>
          <w:rPr>
            <w:rStyle w:val="Hyperlink"/>
          </w:rPr>
          <w:t>Orrick — 6 Steps Before August 2026</w:t>
        </w:r>
      </w:hyperlink>
      <w:r>
        <w:rPr/>
        <w:t xml:space="preserve"> — Branchenbericht, November 2025</w:t>
      </w:r>
    </w:p>
  </w:footnote>
  <w:footnote w:id="32">
    <w:p>
      <w:pPr>
        <w:pStyle w:val="FootnoteText"/>
        <w:spacing w:before="0" w:after="200"/>
        <w:rPr/>
      </w:pPr>
      <w:r>
        <w:rPr>
          <w:rStyle w:val="FootnoteCharacters"/>
        </w:rPr>
        <w:footnoteRef/>
      </w:r>
      <w:r>
        <w:rPr/>
        <w:t xml:space="preserve"> </w:t>
      </w:r>
      <w:hyperlink r:id="rId31">
        <w:r>
          <w:rPr>
            <w:rStyle w:val="Hyperlink"/>
          </w:rPr>
          <w:t>ing-ism.de — Informationssicherheit und AI Act</w:t>
        </w:r>
      </w:hyperlink>
      <w:r>
        <w:rPr/>
        <w:t xml:space="preserve"> — Branchenbericht, 2025</w:t>
      </w:r>
    </w:p>
  </w:footnote>
  <w:footnote w:id="33">
    <w:p>
      <w:pPr>
        <w:pStyle w:val="FootnoteText"/>
        <w:spacing w:before="0" w:after="200"/>
        <w:rPr/>
      </w:pPr>
      <w:r>
        <w:rPr>
          <w:rStyle w:val="FootnoteCharacters"/>
        </w:rPr>
        <w:footnoteRef/>
      </w:r>
      <w:r>
        <w:rPr/>
        <w:t xml:space="preserve"> </w:t>
      </w:r>
      <w:hyperlink r:id="rId32">
        <w:r>
          <w:rPr>
            <w:rStyle w:val="Hyperlink"/>
          </w:rPr>
          <w:t>AI Act Law — Artikel 99 (Bußgelder)</w:t>
        </w:r>
      </w:hyperlink>
      <w:r>
        <w:rPr/>
        <w:t xml:space="preserve"> — Official Documentation, 2024</w:t>
      </w:r>
    </w:p>
  </w:footnote>
  <w:footnote w:id="34">
    <w:p>
      <w:pPr>
        <w:pStyle w:val="FootnoteText"/>
        <w:spacing w:before="0" w:after="200"/>
        <w:rPr/>
      </w:pPr>
      <w:r>
        <w:rPr>
          <w:rStyle w:val="FootnoteCharacters"/>
        </w:rPr>
        <w:footnoteRef/>
      </w:r>
      <w:r>
        <w:rPr/>
        <w:t xml:space="preserve"> </w:t>
      </w:r>
      <w:hyperlink r:id="rId33">
        <w:r>
          <w:rPr>
            <w:rStyle w:val="Hyperlink"/>
          </w:rPr>
          <w:t>AI Act Law — Artikel 99 (Bußgelder)</w:t>
        </w:r>
      </w:hyperlink>
      <w:r>
        <w:rPr/>
        <w:t xml:space="preserve"> — Official Documentation, 2024</w:t>
      </w:r>
    </w:p>
  </w:footnote>
  <w:footnote w:id="35">
    <w:p>
      <w:pPr>
        <w:pStyle w:val="FootnoteText"/>
        <w:spacing w:before="0" w:after="200"/>
        <w:rPr/>
      </w:pPr>
      <w:r>
        <w:rPr>
          <w:rStyle w:val="FootnoteCharacters"/>
        </w:rPr>
        <w:footnoteRef/>
      </w:r>
      <w:r>
        <w:rPr/>
        <w:t xml:space="preserve"> </w:t>
      </w:r>
      <w:hyperlink r:id="rId34">
        <w:r>
          <w:rPr>
            <w:rStyle w:val="Hyperlink"/>
          </w:rPr>
          <w:t>Secjur — Bußgeld-Berechnung</w:t>
        </w:r>
      </w:hyperlink>
      <w:r>
        <w:rPr/>
        <w:t xml:space="preserve"> — Branchenbericht, o. D.</w:t>
      </w:r>
    </w:p>
  </w:footnote>
  <w:footnote w:id="36">
    <w:p>
      <w:pPr>
        <w:pStyle w:val="FootnoteText"/>
        <w:spacing w:before="0" w:after="200"/>
        <w:rPr/>
      </w:pPr>
      <w:r>
        <w:rPr>
          <w:rStyle w:val="FootnoteCharacters"/>
        </w:rPr>
        <w:footnoteRef/>
      </w:r>
      <w:r>
        <w:rPr/>
        <w:t xml:space="preserve"> </w:t>
      </w:r>
      <w:hyperlink r:id="rId35">
        <w:r>
          <w:rPr>
            <w:rStyle w:val="Hyperlink"/>
          </w:rPr>
          <w:t>CEPS — Costs for the EU’s AI Act</w:t>
        </w:r>
      </w:hyperlink>
      <w:r>
        <w:rPr/>
        <w:t xml:space="preserve"> — Branchenbericht, 2023</w:t>
      </w:r>
    </w:p>
  </w:footnote>
  <w:footnote w:id="37">
    <w:p>
      <w:pPr>
        <w:pStyle w:val="FootnoteText"/>
        <w:spacing w:before="0" w:after="200"/>
        <w:rPr/>
      </w:pPr>
      <w:r>
        <w:rPr>
          <w:rStyle w:val="FootnoteCharacters"/>
        </w:rPr>
        <w:footnoteRef/>
      </w:r>
      <w:r>
        <w:rPr/>
        <w:t xml:space="preserve"> </w:t>
      </w:r>
      <w:hyperlink r:id="rId36">
        <w:r>
          <w:rPr>
            <w:rStyle w:val="Hyperlink"/>
          </w:rPr>
          <w:t>CEPS — Costs for the EU’s AI Act</w:t>
        </w:r>
      </w:hyperlink>
      <w:r>
        <w:rPr/>
        <w:t xml:space="preserve"> — Branchenbericht, 2023</w:t>
      </w:r>
    </w:p>
  </w:footnote>
  <w:footnote w:id="38">
    <w:p>
      <w:pPr>
        <w:pStyle w:val="FootnoteText"/>
        <w:spacing w:before="0" w:after="200"/>
        <w:rPr/>
      </w:pPr>
      <w:r>
        <w:rPr>
          <w:rStyle w:val="FootnoteCharacters"/>
        </w:rPr>
        <w:footnoteRef/>
      </w:r>
      <w:r>
        <w:rPr/>
        <w:t xml:space="preserve"> </w:t>
      </w:r>
      <w:hyperlink r:id="rId37">
        <w:r>
          <w:rPr>
            <w:rStyle w:val="Hyperlink"/>
          </w:rPr>
          <w:t>Digital SME Alliance — AI Act: Help or Hindrance?</w:t>
        </w:r>
      </w:hyperlink>
      <w:r>
        <w:rPr/>
        <w:t xml:space="preserve"> — Branchenbericht, 2024</w:t>
      </w:r>
    </w:p>
  </w:footnote>
  <w:footnote w:id="39">
    <w:p>
      <w:pPr>
        <w:pStyle w:val="FootnoteText"/>
        <w:spacing w:before="0" w:after="200"/>
        <w:rPr/>
      </w:pPr>
      <w:r>
        <w:rPr>
          <w:rStyle w:val="FootnoteCharacters"/>
        </w:rPr>
        <w:footnoteRef/>
      </w:r>
      <w:r>
        <w:rPr/>
        <w:t xml:space="preserve"> </w:t>
      </w:r>
      <w:hyperlink r:id="rId38">
        <w:r>
          <w:rPr>
            <w:rStyle w:val="Hyperlink"/>
          </w:rPr>
          <w:t>EU-Kommission — EDIH Funding (342 Mio. EUR)</w:t>
        </w:r>
      </w:hyperlink>
      <w:r>
        <w:rPr/>
        <w:t xml:space="preserve"> — Behördenbericht, Oktober 2025</w:t>
      </w:r>
    </w:p>
  </w:footnote>
  <w:footnote w:id="40">
    <w:p>
      <w:pPr>
        <w:pStyle w:val="FootnoteText"/>
        <w:spacing w:before="0" w:after="200"/>
        <w:rPr/>
      </w:pPr>
      <w:r>
        <w:rPr>
          <w:rStyle w:val="FootnoteCharacters"/>
        </w:rPr>
        <w:footnoteRef/>
      </w:r>
      <w:r>
        <w:rPr/>
        <w:t xml:space="preserve"> </w:t>
      </w:r>
      <w:hyperlink r:id="rId39">
        <w:r>
          <w:rPr>
            <w:rStyle w:val="Hyperlink"/>
          </w:rPr>
          <w:t>AI Act — Artikel 57 (Sandboxes)</w:t>
        </w:r>
      </w:hyperlink>
      <w:r>
        <w:rPr/>
        <w:t xml:space="preserve"> — Official Documentation, 2024</w:t>
      </w:r>
    </w:p>
  </w:footnote>
  <w:footnote w:id="41">
    <w:p>
      <w:pPr>
        <w:pStyle w:val="FootnoteText"/>
        <w:spacing w:before="0" w:after="200"/>
        <w:rPr/>
      </w:pPr>
      <w:r>
        <w:rPr>
          <w:rStyle w:val="FootnoteCharacters"/>
        </w:rPr>
        <w:footnoteRef/>
      </w:r>
      <w:r>
        <w:rPr/>
        <w:t xml:space="preserve"> </w:t>
      </w:r>
      <w:hyperlink r:id="rId40">
        <w:r>
          <w:rPr>
            <w:rStyle w:val="Hyperlink"/>
          </w:rPr>
          <w:t>Bayerisches Staatsministerium — AI Act Accelerator</w:t>
        </w:r>
      </w:hyperlink>
      <w:r>
        <w:rPr/>
        <w:t xml:space="preserve"> — Behördenbericht, Dezember 2024</w:t>
      </w:r>
    </w:p>
  </w:footnote>
  <w:footnote w:id="42">
    <w:p>
      <w:pPr>
        <w:pStyle w:val="FootnoteText"/>
        <w:spacing w:before="0" w:after="200"/>
        <w:rPr/>
      </w:pPr>
      <w:r>
        <w:rPr>
          <w:rStyle w:val="FootnoteCharacters"/>
        </w:rPr>
        <w:footnoteRef/>
      </w:r>
      <w:r>
        <w:rPr/>
        <w:t xml:space="preserve"> </w:t>
      </w:r>
      <w:hyperlink r:id="rId41">
        <w:r>
          <w:rPr>
            <w:rStyle w:val="Hyperlink"/>
          </w:rPr>
          <w:t>Mittelstand-Digital Zentrum</w:t>
        </w:r>
      </w:hyperlink>
      <w:r>
        <w:rPr/>
        <w:t xml:space="preserve"> — Behördenbericht, laufend</w:t>
      </w:r>
    </w:p>
  </w:footnote>
  <w:footnote w:id="43">
    <w:p>
      <w:pPr>
        <w:pStyle w:val="FootnoteText"/>
        <w:spacing w:before="0" w:after="200"/>
        <w:rPr/>
      </w:pPr>
      <w:r>
        <w:rPr>
          <w:rStyle w:val="FootnoteCharacters"/>
        </w:rPr>
        <w:footnoteRef/>
      </w:r>
      <w:r>
        <w:rPr/>
        <w:t xml:space="preserve"> </w:t>
      </w:r>
      <w:hyperlink r:id="rId42">
        <w:r>
          <w:rPr>
            <w:rStyle w:val="Hyperlink"/>
          </w:rPr>
          <w:t>BridgeAI — KMU-Pflichtschulung</w:t>
        </w:r>
      </w:hyperlink>
      <w:r>
        <w:rPr/>
        <w:t xml:space="preserve"> — Branchenbericht, 2025</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numRestart w:val="eachSect"/>
    <w:footnote w:id="0"/>
    <w:footnote w:id="1"/>
  </w:footnotePr>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IndexLink">
    <w:name w:val="Index Link"/>
    <w:qFormat/>
    <w:rPr/>
  </w:style>
  <w:style w:type="character" w:styleId="EndnoteReference">
    <w:name w:val="endnote reference"/>
    <w:rPr>
      <w:vertAlign w:val="superscript"/>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link w:val="BodyTextChar"/>
    <w:qFormat/>
    <w:pPr>
      <w:spacing w:before="180" w:after="180"/>
    </w:pPr>
    <w:rPr/>
  </w:style>
  <w:style w:type="paragraph" w:styleId="List">
    <w:name w:val="List"/>
    <w:basedOn w:val="BodyText"/>
    <w:pPr/>
    <w:rPr>
      <w:rFonts w:cs="Arial Unicode M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Arial Unicode MS"/>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paragraph" w:styleId="HeaderandFooter">
    <w:name w:val="Header and Footer"/>
    <w:basedOn w:val="Normal"/>
    <w:qFormat/>
    <w:pPr/>
    <w:rPr/>
  </w:style>
  <w:style w:type="paragraph" w:styleId="Footer">
    <w:name w:val="footer"/>
    <w:basedOn w:val="HeaderandFooter"/>
    <w:pPr/>
    <w:rPr/>
  </w:style>
  <w:style w:type="paragraph" w:styleId="TOC1">
    <w:name w:val="toc 1"/>
    <w:basedOn w:val="Index"/>
    <w:pPr>
      <w:tabs>
        <w:tab w:val="clear" w:pos="720"/>
        <w:tab w:val="right" w:pos="9360" w:leader="dot"/>
      </w:tabs>
      <w:ind w:hanging="0" w:left="0"/>
    </w:pPr>
    <w:rPr/>
  </w:style>
  <w:style w:type="paragraph" w:styleId="TOC2">
    <w:name w:val="toc 2"/>
    <w:basedOn w:val="Index"/>
    <w:pPr>
      <w:tabs>
        <w:tab w:val="clear" w:pos="720"/>
        <w:tab w:val="right" w:pos="9077" w:leader="dot"/>
      </w:tabs>
      <w:ind w:hanging="0" w:left="283"/>
    </w:pPr>
    <w:rPr/>
  </w:style>
  <w:style w:type="paragraph" w:styleId="TOC3">
    <w:name w:val="toc 3"/>
    <w:basedOn w:val="Index"/>
    <w:pPr>
      <w:tabs>
        <w:tab w:val="clear" w:pos="720"/>
        <w:tab w:val="right" w:pos="8793" w:leader="dot"/>
      </w:tabs>
      <w:ind w:hanging="0" w:left="567"/>
    </w:pPr>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eep-research.leon.fm/"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s://eur-lex.europa.eu/eli/reg/2024/1689/oj/eng" TargetMode="External"/><Relationship Id="rId2" Type="http://schemas.openxmlformats.org/officeDocument/2006/relationships/hyperlink" Target="https://ai-act-service-desk.ec.europa.eu/en/ai-act/article-62" TargetMode="External"/><Relationship Id="rId3" Type="http://schemas.openxmlformats.org/officeDocument/2006/relationships/hyperlink" Target="https://www.ebnerstolz.de/de/unser-angebot/leistungen/rechtsberatung/it-recht-und-datenschutz/eu-ai-act-digital-omnibus-fristen-verbote-ki-verordnung-102999.html" TargetMode="External"/><Relationship Id="rId4" Type="http://schemas.openxmlformats.org/officeDocument/2006/relationships/hyperlink" Target="https://www.ceps.eu/clarifying-the-costs-for-the-eus-ai-act/" TargetMode="External"/><Relationship Id="rId5" Type="http://schemas.openxmlformats.org/officeDocument/2006/relationships/hyperlink" Target="https://haerting.de/en/insights/provider-or-deployer-decoding-the-key-roles-in-the-ai-act/" TargetMode="External"/><Relationship Id="rId6" Type="http://schemas.openxmlformats.org/officeDocument/2006/relationships/hyperlink" Target="https://eur-lex.europa.eu/eli/reg/2024/1689/oj/eng" TargetMode="External"/><Relationship Id="rId7" Type="http://schemas.openxmlformats.org/officeDocument/2006/relationships/hyperlink" Target="https://digital-strategy.ec.europa.eu/en/policies/regulatory-framework-ai" TargetMode="External"/><Relationship Id="rId8" Type="http://schemas.openxmlformats.org/officeDocument/2006/relationships/hyperlink" Target="https://www.ebnerstolz.de/de/unser-angebot/leistungen/rechtsberatung/it-recht-und-datenschutz/eu-ai-act-digital-omnibus-fristen-verbote-ki-verordnung-102999.html" TargetMode="External"/><Relationship Id="rId9" Type="http://schemas.openxmlformats.org/officeDocument/2006/relationships/hyperlink" Target="https://artificialintelligenceact.eu/high-level-summary/" TargetMode="External"/><Relationship Id="rId10" Type="http://schemas.openxmlformats.org/officeDocument/2006/relationships/hyperlink" Target="https://artificialintelligenceact.eu/high-level-summary/" TargetMode="External"/><Relationship Id="rId11" Type="http://schemas.openxmlformats.org/officeDocument/2006/relationships/hyperlink" Target="https://www.digitalzentrum-fokus-mensch.de/kos/WNetz?art=News.show&amp;id=2785" TargetMode="External"/><Relationship Id="rId12" Type="http://schemas.openxmlformats.org/officeDocument/2006/relationships/hyperlink" Target="https://www.glocertinternational.com/resources/guides/eu-ai-act-applicability-and-operator-roles/" TargetMode="External"/><Relationship Id="rId13" Type="http://schemas.openxmlformats.org/officeDocument/2006/relationships/hyperlink" Target="https://privacyneedle.com/eu-ai-data-protection-law/why-small-startups-are-not-exempt-from-eu-ai-rules/" TargetMode="External"/><Relationship Id="rId14" Type="http://schemas.openxmlformats.org/officeDocument/2006/relationships/hyperlink" Target="https://haerting.de/en/insights/provider-or-deployer-decoding-the-key-roles-in-the-ai-act/" TargetMode="External"/><Relationship Id="rId15" Type="http://schemas.openxmlformats.org/officeDocument/2006/relationships/hyperlink" Target="https://huggingface.co/blog/yjernite/eu-act-os-guideai" TargetMode="External"/><Relationship Id="rId16" Type="http://schemas.openxmlformats.org/officeDocument/2006/relationships/hyperlink" Target="https://ai-act-service-desk.ec.europa.eu/en/ai-act/article-62" TargetMode="External"/><Relationship Id="rId17" Type="http://schemas.openxmlformats.org/officeDocument/2006/relationships/hyperlink" Target="https://www.holisticai.com/blog/how-will-smes-be-supported-under-the-eu-ai-act" TargetMode="External"/><Relationship Id="rId18" Type="http://schemas.openxmlformats.org/officeDocument/2006/relationships/hyperlink" Target="https://artificialintelligenceact.eu/article/57/" TargetMode="External"/><Relationship Id="rId19" Type="http://schemas.openxmlformats.org/officeDocument/2006/relationships/hyperlink" Target="https://www.holisticai.com/blog/how-will-smes-be-supported-under-the-eu-ai-act" TargetMode="External"/><Relationship Id="rId20" Type="http://schemas.openxmlformats.org/officeDocument/2006/relationships/hyperlink" Target="https://www.cooley.com/news/insight/2025/2025-11-24-eu-ai-act-proposed-digital-omnibus-on-ai-will-impact-businesses-ai-compliance-roadmaps" TargetMode="External"/><Relationship Id="rId21" Type="http://schemas.openxmlformats.org/officeDocument/2006/relationships/hyperlink" Target="https://huggingface.co/blog/yjernite/eu-act-os-guideai" TargetMode="External"/><Relationship Id="rId22" Type="http://schemas.openxmlformats.org/officeDocument/2006/relationships/hyperlink" Target="https://huggingface.co/blog/yjernite/eu-act-os-guideai" TargetMode="External"/><Relationship Id="rId23" Type="http://schemas.openxmlformats.org/officeDocument/2006/relationships/hyperlink" Target="https://linuxfoundation.eu/newsroom/ai-act-explainer" TargetMode="External"/><Relationship Id="rId24" Type="http://schemas.openxmlformats.org/officeDocument/2006/relationships/hyperlink" Target="https://www.secjur.com/blog/eu-ai-act-open-source-entwickler" TargetMode="External"/><Relationship Id="rId25" Type="http://schemas.openxmlformats.org/officeDocument/2006/relationships/hyperlink" Target="https://digital-strategy.ec.europa.eu/en/faqs/ai-literacy-questions-answers" TargetMode="External"/><Relationship Id="rId26" Type="http://schemas.openxmlformats.org/officeDocument/2006/relationships/hyperlink" Target="https://www.ihk.de/schleswig-holstein/standortpolitik/sicherheit/ai-act-literacy-ki-schulungspflicht-6434794" TargetMode="External"/><Relationship Id="rId27" Type="http://schemas.openxmlformats.org/officeDocument/2006/relationships/hyperlink" Target="https://www.sage.com/de-de/blog/eu-ai-act-2026-fuer-den-mittelstand-fristen-pflichten-und-compliance/" TargetMode="External"/><Relationship Id="rId28" Type="http://schemas.openxmlformats.org/officeDocument/2006/relationships/hyperlink" Target="https://www.sage.com/de-de/blog/eu-ai-act-2026-fuer-den-mittelstand-fristen-pflichten-und-compliance/" TargetMode="External"/><Relationship Id="rId29" Type="http://schemas.openxmlformats.org/officeDocument/2006/relationships/hyperlink" Target="https://artificialintelligenceact.eu/high-level-summary/" TargetMode="External"/><Relationship Id="rId30" Type="http://schemas.openxmlformats.org/officeDocument/2006/relationships/hyperlink" Target="https://www.orrick.com/en/Insights/2025/11/The-EU-AI-Act-6-Steps-to-Take-Before-2-August-2026" TargetMode="External"/><Relationship Id="rId31" Type="http://schemas.openxmlformats.org/officeDocument/2006/relationships/hyperlink" Target="https://www.ing-ism.de/magazin/eu-ai-act-informationssicherheit-compliance-mittelstand/" TargetMode="External"/><Relationship Id="rId32" Type="http://schemas.openxmlformats.org/officeDocument/2006/relationships/hyperlink" Target="https://ai-act-law.eu/de/artikel/99/" TargetMode="External"/><Relationship Id="rId33" Type="http://schemas.openxmlformats.org/officeDocument/2006/relationships/hyperlink" Target="https://ai-act-law.eu/de/artikel/99/" TargetMode="External"/><Relationship Id="rId34" Type="http://schemas.openxmlformats.org/officeDocument/2006/relationships/hyperlink" Target="https://www.secjur.com/blog/eu-ai-act-bussgeld-sanktionen-berechnung" TargetMode="External"/><Relationship Id="rId35" Type="http://schemas.openxmlformats.org/officeDocument/2006/relationships/hyperlink" Target="https://www.ceps.eu/clarifying-the-costs-for-the-eus-ai-act/" TargetMode="External"/><Relationship Id="rId36" Type="http://schemas.openxmlformats.org/officeDocument/2006/relationships/hyperlink" Target="https://www.ceps.eu/clarifying-the-costs-for-the-eus-ai-act/" TargetMode="External"/><Relationship Id="rId37" Type="http://schemas.openxmlformats.org/officeDocument/2006/relationships/hyperlink" Target="https://www.digitalsme.eu/the-ai-act-help-or-hindrance-for-smes/" TargetMode="External"/><Relationship Id="rId38" Type="http://schemas.openxmlformats.org/officeDocument/2006/relationships/hyperlink" Target="https://digital-strategy.ec.europa.eu/en/news/commission-announces-renewed-funding-83-european-digital-innovation-hubs-will-support-eus-ai-first" TargetMode="External"/><Relationship Id="rId39" Type="http://schemas.openxmlformats.org/officeDocument/2006/relationships/hyperlink" Target="https://artificialintelligenceact.eu/article/57/" TargetMode="External"/><Relationship Id="rId40" Type="http://schemas.openxmlformats.org/officeDocument/2006/relationships/hyperlink" Target="https://www.stmd.bayern.de/kmus-bei-der-umsetzung-des-ai-act-der-eu-unterstuetzen-bayern-zum-vorreiter-fuer-verantwortungsvolle-ki-machen-mehring-wir-spannen-schutzschirm-vor-eu-buerokratie-ue/" TargetMode="External"/><Relationship Id="rId41" Type="http://schemas.openxmlformats.org/officeDocument/2006/relationships/hyperlink" Target="https://www.digitalzentrum-fokus-mensch.de/kos/WNetz?art=News.show&amp;id=2809" TargetMode="External"/><Relationship Id="rId42" Type="http://schemas.openxmlformats.org/officeDocument/2006/relationships/hyperlink" Target="https://www.bridge-ai.de/wissenswert/eu-ai-act-kmu-pflichtschulung-richtlinie-2025"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LibreOffice/26.2.2.2$MacOSX_AARCH64 LibreOffice_project/1f77d10d6938fd34972958f64b2bcfa54f8b1ba5</Application>
  <AppVersion>15.0000</AppVersion>
  <Pages>2</Pages>
  <Words>645</Words>
  <Characters>4749</Characters>
  <CharactersWithSpaces>5335</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2026-04-03T10:02:00Z</dcterms:created>
  <dc:creator>Deep Researcher (deep-research.leon.fm)</dc:creator>
  <dc:description/>
  <dc:language>en-US</dc:language>
  <cp:lastModifiedBy/>
  <dcterms:modified xsi:type="dcterms:W3CDTF">2026-04-03T12:02:07Z</dcterms:modified>
  <cp:revision>1</cp:revision>
  <dc:subject/>
  <dc:title>EU AI Act: Was KMU jetzt wissen müssen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2026-04-01</vt:lpwstr>
  </property>
  <property fmtid="{D5CDD505-2E9C-101B-9397-08002B2CF9AE}" pid="3" name="depth">
    <vt:lpwstr>Deep</vt:lpwstr>
  </property>
  <property fmtid="{D5CDD505-2E9C-101B-9397-08002B2CF9AE}" pid="4" name="sources">
    <vt:lpwstr>22</vt:lpwstr>
  </property>
</Properties>
</file>