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Die Wissenschaft hinter kognitiver Höchstleistung</w:t>
      </w:r>
    </w:p>
    <w:p>
      <w:pPr>
        <w:pStyle w:val="Date"/>
      </w:pPr>
      <w:r>
        <w:t xml:space="preserve">2026-04-01</w:t>
      </w:r>
    </w:p>
    <w:sdt>
      <w:sdtPr>
        <w:docPartObj>
          <w:docPartGallery w:val="Table of Contents"/>
          <w:docPartUnique/>
        </w:docPartObj>
      </w:sdtPr>
      <w:sdtContent>
        <w:p>
          <w:pPr>
            <w:pStyle w:val="TOCHeading"/>
          </w:pPr>
          <w:r>
            <w:t xml:space="preserve">Table of Contents</w:t>
          </w:r>
        </w:p>
        <w:p>
          <w:r>
            <w:fldChar w:fldCharType="begin" w:dirty="true"/>
            <w:instrText xml:space="preserve">TOC \o "1-3" \h \z \u</w:instrText>
            <w:fldChar w:fldCharType="separate"/>
            <w:fldChar w:fldCharType="end"/>
          </w:r>
        </w:p>
      </w:sdtContent>
    </w:sdt>
    <w:bookmarkStart w:id="109" w:name="Xb9ba5094927b4f48b8f7f9ee524a69a61777f9e"/>
    <w:p>
      <w:pPr>
        <w:pStyle w:val="Heading1"/>
      </w:pPr>
      <w:r>
        <w:t xml:space="preserve">Die Wissenschaft hinter kognitiver Höchstleistung</w:t>
      </w:r>
    </w:p>
    <w:p>
      <w:pPr>
        <w:pStyle w:val="FirstParagraph"/>
      </w:pPr>
      <w:r>
        <w:t xml:space="preserve">Welche Umweltfaktoren und Gewohnheiten beeinflussen nachweislich die Produktivität von Wissensarbeitern? Dieser Bericht fasst die aktuelle Forschungslage zu sechs Schlüsselfaktoren zusammen — Schlaf, Bewegung, Ernährung, Licht, Temperatur und Tagesstruktur — und destilliert daraus evidenzbasierte Empfehlungen.</w:t>
      </w:r>
    </w:p>
    <w:bookmarkStart w:id="16" w:name="kernerkenntnisse"/>
    <w:p>
      <w:pPr>
        <w:pStyle w:val="Heading2"/>
      </w:pPr>
      <w:r>
        <w:t xml:space="preserve">Kernerkenntnisse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Schlaf ist nicht verhandelbar.</w:t>
      </w:r>
      <w:r>
        <w:t xml:space="preserve"> </w:t>
      </w:r>
      <w:hyperlink r:id="rId9">
        <w:r>
          <w:rPr>
            <w:rStyle w:val="Hyperlink"/>
          </w:rPr>
          <w:t xml:space="preserve">14 Tage mit nur 6 Stunden Schlaf erzeugen kognitive Defizite, die zwei vollständigen Nächten ohne Schlaf entsprechen</w:t>
        </w:r>
      </w:hyperlink>
      <w:r>
        <w:t xml:space="preserve"> </w:t>
      </w:r>
      <w:r>
        <w:t xml:space="preserve">— und die Betroffenen bemerken es kaum.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Bewegung ist der stärkste akute Kognitions-Booster.</w:t>
      </w:r>
      <w:r>
        <w:t xml:space="preserve"> </w:t>
      </w:r>
      <w:hyperlink r:id="rId10">
        <w:r>
          <w:rPr>
            <w:rStyle w:val="Hyperlink"/>
          </w:rPr>
          <w:t xml:space="preserve">Bereits 10 Minuten Training verbessern Aufmerksamkeit und Exekutivfunktionen messbar</w:t>
        </w:r>
      </w:hyperlink>
      <w:r>
        <w:t xml:space="preserve">, der Effekt</w:t>
      </w:r>
      <w:r>
        <w:t xml:space="preserve"> </w:t>
      </w:r>
      <w:hyperlink r:id="rId11">
        <w:r>
          <w:rPr>
            <w:rStyle w:val="Hyperlink"/>
          </w:rPr>
          <w:t xml:space="preserve">hält möglicherweise bis zum nächsten Tag an</w:t>
        </w:r>
      </w:hyperlink>
      <w:r>
        <w:t xml:space="preserve">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CO₂ ist ein stiller Leistungskiller.</w:t>
      </w:r>
      <w:r>
        <w:t xml:space="preserve"> </w:t>
      </w:r>
      <w:r>
        <w:t xml:space="preserve">Bei</w:t>
      </w:r>
      <w:r>
        <w:t xml:space="preserve"> </w:t>
      </w:r>
      <w:hyperlink r:id="rId12">
        <w:r>
          <w:rPr>
            <w:rStyle w:val="Hyperlink"/>
          </w:rPr>
          <w:t xml:space="preserve">1.400 ppm — in vielen Büros normal — halbiert sich die strategische Denkfähigkeit</w:t>
        </w:r>
      </w:hyperlink>
      <w:r>
        <w:t xml:space="preserve">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Licht steuert die innere Uhr.</w:t>
      </w:r>
      <w:r>
        <w:t xml:space="preserve"> </w:t>
      </w:r>
      <w:hyperlink r:id="rId13">
        <w:r>
          <w:rPr>
            <w:rStyle w:val="Hyperlink"/>
          </w:rPr>
          <w:t xml:space="preserve">Büroarbeiter erhalten nur 19-23% der circadian wirksamen Lichtdosis von Außenarbeitern</w:t>
        </w:r>
      </w:hyperlink>
      <w:r>
        <w:t xml:space="preserve"> </w:t>
      </w:r>
      <w:r>
        <w:t xml:space="preserve">— ein systematisches Defizit mit messbaren Folgen.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Koffein hat ein Optimum.</w:t>
      </w:r>
      <w:r>
        <w:t xml:space="preserve"> </w:t>
      </w:r>
      <w:r>
        <w:t xml:space="preserve">Die Dosis-Wirkungs-Beziehung ist</w:t>
      </w:r>
      <w:r>
        <w:t xml:space="preserve"> </w:t>
      </w:r>
      <w:hyperlink r:id="rId14">
        <w:r>
          <w:rPr>
            <w:rStyle w:val="Hyperlink"/>
          </w:rPr>
          <w:t xml:space="preserve">nicht linear: Mehr Koffein verbessert die Reaktionszeit, aber die Genauigkeit sinkt ab einem bestimmten Punkt wieder</w:t>
        </w:r>
      </w:hyperlink>
      <w:r>
        <w:t xml:space="preserve">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Multitasking existiert nicht.</w:t>
      </w:r>
      <w:r>
        <w:t xml:space="preserve"> </w:t>
      </w:r>
      <w:r>
        <w:t xml:space="preserve">Das Gehirn</w:t>
      </w:r>
      <w:r>
        <w:t xml:space="preserve"> </w:t>
      </w:r>
      <w:hyperlink r:id="rId15">
        <w:r>
          <w:rPr>
            <w:rStyle w:val="Hyperlink"/>
          </w:rPr>
          <w:t xml:space="preserve">wechselt zwischen Aufgaben, was die Produktivität um bis zu 40% reduziert</w:t>
        </w:r>
      </w:hyperlink>
      <w:r>
        <w:t xml:space="preserve">.</w:t>
      </w:r>
    </w:p>
    <w:p>
      <w:r>
        <w:pict>
          <v:rect style="width:0;height:1.5pt" o:hralign="center" o:hrstd="t" o:hr="t"/>
        </w:pict>
      </w:r>
    </w:p>
    <w:bookmarkEnd w:id="16"/>
    <w:bookmarkStart w:id="31" w:name="schlaf-das-fundament-kognitiver-leistung"/>
    <w:p>
      <w:pPr>
        <w:pStyle w:val="Heading2"/>
      </w:pPr>
      <w:r>
        <w:t xml:space="preserve">1. Schlaf — Das Fundament kognitiver Leistung</w:t>
      </w:r>
    </w:p>
    <w:bookmarkStart w:id="18" w:name="X1cf3b98c21cb25e622f0cff9b085fbed569eacb"/>
    <w:p>
      <w:pPr>
        <w:pStyle w:val="Heading3"/>
      </w:pPr>
      <w:r>
        <w:t xml:space="preserve">Schlafarchitektur und Gedächtniskonsolidierung</w:t>
      </w:r>
    </w:p>
    <w:p>
      <w:pPr>
        <w:pStyle w:val="FirstParagraph"/>
      </w:pPr>
      <w:r>
        <w:t xml:space="preserve">Schlaf ist kein passiver Zustand — das Gehirn konsolidiert während des Tiefschlafs (Slow-Wave Sleep) aktiv neue Informationen.</w:t>
      </w:r>
      <w:r>
        <w:t xml:space="preserve"> </w:t>
      </w:r>
      <w:hyperlink r:id="rId17">
        <w:r>
          <w:rPr>
            <w:rStyle w:val="Hyperlink"/>
          </w:rPr>
          <w:t xml:space="preserve">Während des SWS werden neu enkodierte Inhalte im Hippocampus wiederholt reaktiviert und durch ein Zusammenspiel von langsamen Oszillationen (0,5-1 Hz), Schlafspindeln (11-16 Hz) und Sharp-Wave-Ripples (110-180 Hz) in den Neokortex übertragen.</w:t>
        </w:r>
      </w:hyperlink>
      <w:r>
        <w:t xml:space="preserve"> </w:t>
      </w:r>
      <w:r>
        <w:t xml:space="preserve">Dieser Mechanismus ist die neurophysiologische Grundlage dafür, warum Lernen ohne ausreichend Schlaf ineffizient ist — Schlafentzug vor dem Lernen führt laut derselben Quelle zu einer 40%igen Reduktion der Gedächtnisretention.</w:t>
      </w:r>
    </w:p>
    <w:p>
      <w:pPr>
        <w:pStyle w:val="Compact"/>
        <w:numPr>
          <w:ilvl w:val="0"/>
          <w:numId w:val="1002"/>
        </w:numPr>
      </w:pPr>
      <w:r>
        <w:t xml:space="preserve">Source:</w:t>
      </w:r>
      <w:r>
        <w:t xml:space="preserve"> </w:t>
      </w:r>
      <w:hyperlink r:id="rId17">
        <w:r>
          <w:rPr>
            <w:rStyle w:val="Hyperlink"/>
          </w:rPr>
          <w:t xml:space="preserve">SWS als Schlüsselmechanismus der Gedächtnisverarbeitung</w:t>
        </w:r>
      </w:hyperlink>
      <w:r>
        <w:t xml:space="preserve"> </w:t>
      </w:r>
      <w:r>
        <w:t xml:space="preserve">| Evidence | 2025</w:t>
      </w:r>
    </w:p>
    <w:bookmarkEnd w:id="18"/>
    <w:bookmarkStart w:id="20" w:name="die-optimale-schlafdauer-7-8-stunden"/>
    <w:p>
      <w:pPr>
        <w:pStyle w:val="Heading3"/>
      </w:pPr>
      <w:r>
        <w:t xml:space="preserve">Die optimale Schlafdauer: 7-8 Stunden</w:t>
      </w:r>
    </w:p>
    <w:p>
      <w:pPr>
        <w:pStyle w:val="FirstParagraph"/>
      </w:pPr>
      <w:r>
        <w:t xml:space="preserve">Der Zusammenhang zwischen Schlafdauer und Kognition ist U-förmig. Eine</w:t>
      </w:r>
      <w:r>
        <w:t xml:space="preserve"> </w:t>
      </w:r>
      <w:hyperlink r:id="rId19">
        <w:r>
          <w:rPr>
            <w:rStyle w:val="Hyperlink"/>
          </w:rPr>
          <w:t xml:space="preserve">Meta-Analyse mit 97.264 Teilnehmern zeigt: Kurzschläfer haben ein 1,40-fach erhöhtes Risiko für kognitive Einschränkungen, Langschläfer sogar ein 1,58-fach erhöhtes Risiko</w:t>
        </w:r>
      </w:hyperlink>
      <w:r>
        <w:t xml:space="preserve">. Betroffen sind Exekutivfunktionen, verbales Gedächtnis und Arbeitsgedächtnis. Die optimale Zone liegt bei 7-8 Stunden.</w:t>
      </w:r>
    </w:p>
    <w:p>
      <w:pPr>
        <w:pStyle w:val="Compact"/>
        <w:numPr>
          <w:ilvl w:val="0"/>
          <w:numId w:val="1003"/>
        </w:numPr>
      </w:pPr>
      <w:r>
        <w:t xml:space="preserve">Source:</w:t>
      </w:r>
      <w:r>
        <w:t xml:space="preserve"> </w:t>
      </w:r>
      <w:hyperlink r:id="rId19">
        <w:r>
          <w:rPr>
            <w:rStyle w:val="Hyperlink"/>
          </w:rPr>
          <w:t xml:space="preserve">Schlafdauer und kognitive Leistung — Meta-Analyse</w:t>
        </w:r>
      </w:hyperlink>
      <w:r>
        <w:t xml:space="preserve"> </w:t>
      </w:r>
      <w:r>
        <w:t xml:space="preserve">| Evidence | 2016</w:t>
      </w:r>
    </w:p>
    <w:bookmarkEnd w:id="20"/>
    <w:bookmarkStart w:id="23" w:name="X912e8a0a2715779a19a120b2eb7b7f730e3bd18"/>
    <w:p>
      <w:pPr>
        <w:pStyle w:val="Heading3"/>
      </w:pPr>
      <w:r>
        <w:t xml:space="preserve">Chronischer Schlafmangel: Der heimtückische Leistungskiller</w:t>
      </w:r>
    </w:p>
    <w:p>
      <w:pPr>
        <w:pStyle w:val="FirstParagraph"/>
      </w:pPr>
      <w:r>
        <w:t xml:space="preserve">Die vielleicht wichtigste Erkenntnis der Schlafforschung für Wissensarbeiter: Chronischer moderater Schlafmangel ist gefährlicher als akuter Schlafentzug, weil er unbemerkt bleibt.</w:t>
      </w:r>
      <w:r>
        <w:t xml:space="preserve"> </w:t>
      </w:r>
      <w:hyperlink r:id="rId9">
        <w:r>
          <w:rPr>
            <w:rStyle w:val="Hyperlink"/>
          </w:rPr>
          <w:t xml:space="preserve">Nach 14 Tagen mit nur 6 Stunden Schlaf pro Nacht erreichen kognitive Defizite das Niveau von zwei vollständigen Nächten ohne Schlaf — aber die subjektive Müdigkeitseinschätzung steigt nur anfangs und stagniert dann</w:t>
        </w:r>
      </w:hyperlink>
      <w:r>
        <w:t xml:space="preserve">. Man fühlt sich</w:t>
      </w:r>
      <w:r>
        <w:t xml:space="preserve"> </w:t>
      </w:r>
      <w:r>
        <w:t xml:space="preserve">“normal”</w:t>
      </w:r>
      <w:r>
        <w:t xml:space="preserve">, ist es aber nicht.</w:t>
      </w:r>
    </w:p>
    <w:p>
      <w:pPr>
        <w:pStyle w:val="Compact"/>
        <w:numPr>
          <w:ilvl w:val="0"/>
          <w:numId w:val="1004"/>
        </w:numPr>
      </w:pPr>
      <w:r>
        <w:t xml:space="preserve">Source:</w:t>
      </w:r>
      <w:r>
        <w:t xml:space="preserve"> </w:t>
      </w:r>
      <w:hyperlink r:id="rId9">
        <w:r>
          <w:rPr>
            <w:rStyle w:val="Hyperlink"/>
          </w:rPr>
          <w:t xml:space="preserve">Van Dongen et al. — Kumulative Kosten der Wachheit</w:t>
        </w:r>
      </w:hyperlink>
      <w:r>
        <w:t xml:space="preserve"> </w:t>
      </w:r>
      <w:r>
        <w:t xml:space="preserve">| Evidence | 2003</w:t>
      </w:r>
    </w:p>
    <w:p>
      <w:pPr>
        <w:pStyle w:val="FirstParagraph"/>
      </w:pPr>
      <w:r>
        <w:t xml:space="preserve">Neurophysiologisch lässt sich dies erklären:</w:t>
      </w:r>
      <w:r>
        <w:t xml:space="preserve"> </w:t>
      </w:r>
      <w:hyperlink r:id="rId21">
        <w:r>
          <w:rPr>
            <w:rStyle w:val="Hyperlink"/>
          </w:rPr>
          <w:t xml:space="preserve">Schlafentzug stört die normale Abschwächung irrelevanter neuronaler Verbindungen und hält die kortikale Erregbarkeit auf einem pathologisch hohen Niveau</w:t>
        </w:r>
      </w:hyperlink>
      <w:r>
        <w:t xml:space="preserve">. Die Folge ist eine beeinträchtigte Signalweiterleitung, die sich in schwankender Leistung zwischen normalen Werten und gefährlichen Aussetzern äußert.</w:t>
      </w:r>
    </w:p>
    <w:p>
      <w:pPr>
        <w:pStyle w:val="Compact"/>
        <w:numPr>
          <w:ilvl w:val="0"/>
          <w:numId w:val="1005"/>
        </w:numPr>
      </w:pPr>
      <w:r>
        <w:t xml:space="preserve">Source:</w:t>
      </w:r>
      <w:r>
        <w:t xml:space="preserve"> </w:t>
      </w:r>
      <w:hyperlink r:id="rId21">
        <w:r>
          <w:rPr>
            <w:rStyle w:val="Hyperlink"/>
          </w:rPr>
          <w:t xml:space="preserve">IfADo/Leibniz — Schlafentzug und kognitive Leistung</w:t>
        </w:r>
      </w:hyperlink>
      <w:r>
        <w:t xml:space="preserve"> </w:t>
      </w:r>
      <w:r>
        <w:t xml:space="preserve">| Evidence | 2022</w:t>
      </w:r>
    </w:p>
    <w:p>
      <w:pPr>
        <w:pStyle w:val="FirstParagraph"/>
      </w:pPr>
      <w:r>
        <w:t xml:space="preserve">Für</w:t>
      </w:r>
      <w:r>
        <w:t xml:space="preserve"> </w:t>
      </w:r>
      <w:hyperlink r:id="rId22">
        <w:r>
          <w:rPr>
            <w:rStyle w:val="Hyperlink"/>
          </w:rPr>
          <w:t xml:space="preserve">akuten Schlafentzug zeigt eine Meta-Analyse eine Reaktionszeitverlängerung um durchschnittlich 84 ms, während chronischer Schlafmangel nur eine minimale Verlangsamung (+6,5 ms) zeigt</w:t>
        </w:r>
      </w:hyperlink>
      <w:r>
        <w:t xml:space="preserve"> </w:t>
      </w:r>
      <w:r>
        <w:t xml:space="preserve">— ein Zeichen für oberflächliche Adaptation bei bleibenden tieferliegenden Defiziten.</w:t>
      </w:r>
    </w:p>
    <w:p>
      <w:pPr>
        <w:pStyle w:val="Compact"/>
        <w:numPr>
          <w:ilvl w:val="0"/>
          <w:numId w:val="1006"/>
        </w:numPr>
      </w:pPr>
      <w:r>
        <w:t xml:space="preserve">Source:</w:t>
      </w:r>
      <w:r>
        <w:t xml:space="preserve"> </w:t>
      </w:r>
      <w:hyperlink r:id="rId22">
        <w:r>
          <w:rPr>
            <w:rStyle w:val="Hyperlink"/>
          </w:rPr>
          <w:t xml:space="preserve">Ren et al. — Akuter vs. chronischer Schlafentzug</w:t>
        </w:r>
      </w:hyperlink>
      <w:r>
        <w:t xml:space="preserve"> </w:t>
      </w:r>
      <w:r>
        <w:t xml:space="preserve">| Evidence | 2025</w:t>
      </w:r>
    </w:p>
    <w:bookmarkEnd w:id="23"/>
    <w:bookmarkStart w:id="26" w:name="chronotyp-und-der-synchronie-effekt"/>
    <w:p>
      <w:pPr>
        <w:pStyle w:val="Heading3"/>
      </w:pPr>
      <w:r>
        <w:t xml:space="preserve">Chronotyp und der Synchronie-Effekt</w:t>
      </w:r>
    </w:p>
    <w:p>
      <w:pPr>
        <w:pStyle w:val="FirstParagraph"/>
      </w:pPr>
      <w:r>
        <w:t xml:space="preserve">Die Frage</w:t>
      </w:r>
      <w:r>
        <w:t xml:space="preserve"> </w:t>
      </w:r>
      <w:r>
        <w:t xml:space="preserve">“Lerche oder Eule?”</w:t>
      </w:r>
      <w:r>
        <w:t xml:space="preserve"> </w:t>
      </w:r>
      <w:r>
        <w:t xml:space="preserve">ist weniger relevant als das Timing der Aufgaben.</w:t>
      </w:r>
      <w:r>
        <w:t xml:space="preserve"> </w:t>
      </w:r>
      <w:hyperlink r:id="rId24">
        <w:r>
          <w:rPr>
            <w:rStyle w:val="Hyperlink"/>
          </w:rPr>
          <w:t xml:space="preserve">Eine systematische Übersicht über 65 Studien zeigt: Über 80% finden keinen generellen Haupteffekt des Chronotyps auf die kognitive Leistung. Aber es gibt einen signifikanten Synchronie-Effekt: Wenn Aufgaben zur optimalen Tageszeit des jeweiligen Chronotyps ausgeführt werden, steigt die Leistung deutlich — besonders bei Aufmerksamkeit, Inhibition und Gedächtnis.</w:t>
        </w:r>
      </w:hyperlink>
    </w:p>
    <w:p>
      <w:pPr>
        <w:pStyle w:val="Compact"/>
        <w:numPr>
          <w:ilvl w:val="0"/>
          <w:numId w:val="1007"/>
        </w:numPr>
      </w:pPr>
      <w:r>
        <w:t xml:space="preserve">Source:</w:t>
      </w:r>
      <w:r>
        <w:t xml:space="preserve"> </w:t>
      </w:r>
      <w:hyperlink r:id="rId24">
        <w:r>
          <w:rPr>
            <w:rStyle w:val="Hyperlink"/>
          </w:rPr>
          <w:t xml:space="preserve">Chauhan et al. — Chronotyp und Synchronie</w:t>
        </w:r>
      </w:hyperlink>
      <w:r>
        <w:t xml:space="preserve"> </w:t>
      </w:r>
      <w:r>
        <w:t xml:space="preserve">| Evidence | 2025</w:t>
      </w:r>
    </w:p>
    <w:p>
      <w:pPr>
        <w:pStyle w:val="FirstParagraph"/>
      </w:pPr>
      <w:r>
        <w:t xml:space="preserve">Neuere Daten aus der</w:t>
      </w:r>
      <w:r>
        <w:t xml:space="preserve"> </w:t>
      </w:r>
      <w:hyperlink r:id="rId25">
        <w:r>
          <w:rPr>
            <w:rStyle w:val="Hyperlink"/>
          </w:rPr>
          <w:t xml:space="preserve">UK Biobank (477.529 Teilnehmer) zeigen, dass Abendtypen bei den meisten kognitiven Tests sogar besser abschneiden als Morgentypen</w:t>
        </w:r>
      </w:hyperlink>
      <w:r>
        <w:t xml:space="preserve"> </w:t>
      </w:r>
      <w:r>
        <w:t xml:space="preserve">— was gegen das kulturelle Ideal des</w:t>
      </w:r>
      <w:r>
        <w:t xml:space="preserve"> </w:t>
      </w:r>
      <w:r>
        <w:t xml:space="preserve">“frühen Vogels”</w:t>
      </w:r>
      <w:r>
        <w:t xml:space="preserve"> </w:t>
      </w:r>
      <w:r>
        <w:t xml:space="preserve">spricht. Entscheidend ist nicht, wann man aufsteht, sondern ob anspruchsvolle kognitive Arbeit zum individuellen Leistungshoch stattfindet.</w:t>
      </w:r>
    </w:p>
    <w:p>
      <w:pPr>
        <w:pStyle w:val="Compact"/>
        <w:numPr>
          <w:ilvl w:val="0"/>
          <w:numId w:val="1008"/>
        </w:numPr>
      </w:pPr>
      <w:r>
        <w:t xml:space="preserve">Source:</w:t>
      </w:r>
      <w:r>
        <w:t xml:space="preserve"> </w:t>
      </w:r>
      <w:hyperlink r:id="rId25">
        <w:r>
          <w:rPr>
            <w:rStyle w:val="Hyperlink"/>
          </w:rPr>
          <w:t xml:space="preserve">Liu et al. — Chronotyp und neuronale Dynamik</w:t>
        </w:r>
      </w:hyperlink>
      <w:r>
        <w:t xml:space="preserve"> </w:t>
      </w:r>
      <w:r>
        <w:t xml:space="preserve">| Evidence | 2025</w:t>
      </w:r>
    </w:p>
    <w:bookmarkEnd w:id="26"/>
    <w:bookmarkStart w:id="28" w:name="Xbdf014ebeffdb1efdd509d9679eaed31063f803"/>
    <w:p>
      <w:pPr>
        <w:pStyle w:val="Heading3"/>
      </w:pPr>
      <w:r>
        <w:t xml:space="preserve">Schlafregularität: Der unterschätzte Faktor</w:t>
      </w:r>
    </w:p>
    <w:p>
      <w:pPr>
        <w:pStyle w:val="FirstParagraph"/>
      </w:pPr>
      <w:hyperlink r:id="rId27">
        <w:r>
          <w:rPr>
            <w:rStyle w:val="Hyperlink"/>
          </w:rPr>
          <w:t xml:space="preserve">Unregelmäßige Schlafzeiten sind — unabhängig von Schlafdauer und Schlafqualität — mit einem 20-88% höheren Sterberisiko und 26-53% erhöhtem Demenzrisiko verbunden.</w:t>
        </w:r>
      </w:hyperlink>
      <w:r>
        <w:t xml:space="preserve"> </w:t>
      </w:r>
      <w:r>
        <w:t xml:space="preserve">Dieser systematische Review empfiehlt, Schlafregularität als eigenständige Säule der Gesundheitsempfehlungen zu etablieren. Für Wissensarbeiter bedeutet das: Jeden Tag ungefähr zur gleichen Zeit ins Bett gehen ist möglicherweise wichtiger als die exakte Stundenzahl.</w:t>
      </w:r>
    </w:p>
    <w:p>
      <w:pPr>
        <w:pStyle w:val="Compact"/>
        <w:numPr>
          <w:ilvl w:val="0"/>
          <w:numId w:val="1009"/>
        </w:numPr>
      </w:pPr>
      <w:r>
        <w:t xml:space="preserve">Source:</w:t>
      </w:r>
      <w:r>
        <w:t xml:space="preserve"> </w:t>
      </w:r>
      <w:hyperlink r:id="rId27">
        <w:r>
          <w:rPr>
            <w:rStyle w:val="Hyperlink"/>
          </w:rPr>
          <w:t xml:space="preserve">Kalkanis et al. — Schlafregularität</w:t>
        </w:r>
      </w:hyperlink>
      <w:r>
        <w:t xml:space="preserve"> </w:t>
      </w:r>
      <w:r>
        <w:t xml:space="preserve">| Evidence | 2025</w:t>
      </w:r>
    </w:p>
    <w:bookmarkEnd w:id="28"/>
    <w:bookmarkStart w:id="30" w:name="Xe0fce9066ca42dca1d8c43bae737adf839fab45"/>
    <w:p>
      <w:pPr>
        <w:pStyle w:val="Heading3"/>
      </w:pPr>
      <w:r>
        <w:t xml:space="preserve">Schlafqualität verbessern: Was die Forschung empfiehlt</w:t>
      </w:r>
    </w:p>
    <w:p>
      <w:pPr>
        <w:pStyle w:val="FirstParagraph"/>
      </w:pPr>
      <w:r>
        <w:t xml:space="preserve">Überraschend:</w:t>
      </w:r>
      <w:r>
        <w:t xml:space="preserve"> </w:t>
      </w:r>
      <w:hyperlink r:id="rId29">
        <w:r>
          <w:rPr>
            <w:rStyle w:val="Hyperlink"/>
          </w:rPr>
          <w:t xml:space="preserve">Eine Netzwerk-Metaanalyse von 27 RCTs (2.649 Teilnehmer) zeigt, dass Widerstandstraining die effektivste nicht-pharmakologische Intervention zur Verbesserung der Schlafqualität ist (P-Score 0,99)</w:t>
        </w:r>
      </w:hyperlink>
      <w:r>
        <w:t xml:space="preserve">, gefolgt von körperlicher Aktivität (0,85) und Ernährungsinterventionen (0,83). Reine Schlafhygiene-Edukation schnitt deutlich schlechter ab.</w:t>
      </w:r>
    </w:p>
    <w:p>
      <w:pPr>
        <w:pStyle w:val="Compact"/>
        <w:numPr>
          <w:ilvl w:val="0"/>
          <w:numId w:val="1010"/>
        </w:numPr>
      </w:pPr>
      <w:r>
        <w:t xml:space="preserve">Source:</w:t>
      </w:r>
      <w:r>
        <w:t xml:space="preserve"> </w:t>
      </w:r>
      <w:hyperlink r:id="rId29">
        <w:r>
          <w:rPr>
            <w:rStyle w:val="Hyperlink"/>
          </w:rPr>
          <w:t xml:space="preserve">Nicht-pharmakologische Schlafhygiene — NMA</w:t>
        </w:r>
      </w:hyperlink>
      <w:r>
        <w:t xml:space="preserve"> </w:t>
      </w:r>
      <w:r>
        <w:t xml:space="preserve">| Evidence | 2024</w:t>
      </w:r>
    </w:p>
    <w:p>
      <w:r>
        <w:pict>
          <v:rect style="width:0;height:1.5pt" o:hralign="center" o:hrstd="t" o:hr="t"/>
        </w:pict>
      </w:r>
    </w:p>
    <w:bookmarkEnd w:id="30"/>
    <w:bookmarkEnd w:id="31"/>
    <w:bookmarkStart w:id="44" w:name="X52904c3e352cd42482cce007a538f05a89a9234"/>
    <w:p>
      <w:pPr>
        <w:pStyle w:val="Heading2"/>
      </w:pPr>
      <w:r>
        <w:t xml:space="preserve">2. Bewegung — Der stärkste kognitive Verstärker</w:t>
      </w:r>
    </w:p>
    <w:bookmarkStart w:id="33" w:name="der-akute-effekt-10-minuten-reichen"/>
    <w:p>
      <w:pPr>
        <w:pStyle w:val="Heading3"/>
      </w:pPr>
      <w:r>
        <w:t xml:space="preserve">Der akute Effekt: 10 Minuten reichen</w:t>
      </w:r>
    </w:p>
    <w:p>
      <w:pPr>
        <w:pStyle w:val="FirstParagraph"/>
      </w:pPr>
      <w:r>
        <w:t xml:space="preserve">Bewegung wirkt sofort.</w:t>
      </w:r>
      <w:r>
        <w:t xml:space="preserve"> </w:t>
      </w:r>
      <w:hyperlink r:id="rId10">
        <w:r>
          <w:rPr>
            <w:rStyle w:val="Hyperlink"/>
          </w:rPr>
          <w:t xml:space="preserve">Eine Meta-Review über 30 systematische Reviews (383 Einzelstudien, 18.347 Teilnehmer) zeigt: Eine einzelne Trainingseinheit verbessert kognitive Funktionen mit einer Effektstärke von SMD = 0,33. Aufmerksamkeit profitiert am stärksten (0,37), gefolgt von Exekutivfunktionen (0,36) und Gedächtnis (0,23).</w:t>
        </w:r>
      </w:hyperlink>
      <w:r>
        <w:t xml:space="preserve"> </w:t>
      </w:r>
      <w:r>
        <w:t xml:space="preserve">Der Effekt ist unabhängig von Trainingsart, Intensität und Alter.</w:t>
      </w:r>
    </w:p>
    <w:p>
      <w:pPr>
        <w:pStyle w:val="Compact"/>
        <w:numPr>
          <w:ilvl w:val="0"/>
          <w:numId w:val="1011"/>
        </w:numPr>
      </w:pPr>
      <w:r>
        <w:t xml:space="preserve">Source:</w:t>
      </w:r>
      <w:r>
        <w:t xml:space="preserve"> </w:t>
      </w:r>
      <w:hyperlink r:id="rId10">
        <w:r>
          <w:rPr>
            <w:rStyle w:val="Hyperlink"/>
          </w:rPr>
          <w:t xml:space="preserve">Meta-Review: Akute Bewegung und Kognition</w:t>
        </w:r>
      </w:hyperlink>
      <w:r>
        <w:t xml:space="preserve"> </w:t>
      </w:r>
      <w:r>
        <w:t xml:space="preserve">| Evidence | 2025</w:t>
      </w:r>
    </w:p>
    <w:p>
      <w:pPr>
        <w:pStyle w:val="FirstParagraph"/>
      </w:pPr>
      <w:r>
        <w:t xml:space="preserve">Praktisch bedeutsam:</w:t>
      </w:r>
      <w:r>
        <w:t xml:space="preserve"> </w:t>
      </w:r>
      <w:hyperlink r:id="rId32">
        <w:r>
          <w:rPr>
            <w:rStyle w:val="Hyperlink"/>
          </w:rPr>
          <w:t xml:space="preserve">Bereits 10 Minuten moderates bis intensives Training reichen aus, um die Reaktionszeit um ca. 50 ms zu verkürzen (14% Verbesserung)</w:t>
        </w:r>
      </w:hyperlink>
      <w:r>
        <w:t xml:space="preserve">, insbesondere bei Entscheidungsfindung und Hemmungskontrolle.</w:t>
      </w:r>
    </w:p>
    <w:p>
      <w:pPr>
        <w:pStyle w:val="Compact"/>
        <w:numPr>
          <w:ilvl w:val="0"/>
          <w:numId w:val="1012"/>
        </w:numPr>
      </w:pPr>
      <w:r>
        <w:t xml:space="preserve">Source:</w:t>
      </w:r>
      <w:r>
        <w:t xml:space="preserve"> </w:t>
      </w:r>
      <w:hyperlink r:id="rId32">
        <w:r>
          <w:rPr>
            <w:rStyle w:val="Hyperlink"/>
          </w:rPr>
          <w:t xml:space="preserve">Northeastern University — 10 Minuten Training</w:t>
        </w:r>
      </w:hyperlink>
      <w:r>
        <w:t xml:space="preserve"> </w:t>
      </w:r>
      <w:r>
        <w:t xml:space="preserve">| Orientation | 2025</w:t>
      </w:r>
    </w:p>
    <w:p>
      <w:pPr>
        <w:pStyle w:val="FirstParagraph"/>
      </w:pPr>
      <w:r>
        <w:t xml:space="preserve">Noch überraschender:</w:t>
      </w:r>
      <w:r>
        <w:t xml:space="preserve"> </w:t>
      </w:r>
      <w:hyperlink r:id="rId11">
        <w:r>
          <w:rPr>
            <w:rStyle w:val="Hyperlink"/>
          </w:rPr>
          <w:t xml:space="preserve">Der kognitive Boost einer einzelnen Trainingseinheit hält möglicherweise bis zum nächsten Tag an. Eine Studie mit 76 Teilnehmern zeigte, dass moderate bis intensive Aktivität mit besseren Arbeitsgedächtnis- und episodischen Gedächtnisleistungen am folgenden Tag assoziiert war — besonders bei gutem Tiefschlaf.</w:t>
        </w:r>
      </w:hyperlink>
    </w:p>
    <w:p>
      <w:pPr>
        <w:pStyle w:val="Compact"/>
        <w:numPr>
          <w:ilvl w:val="0"/>
          <w:numId w:val="1013"/>
        </w:numPr>
      </w:pPr>
      <w:r>
        <w:t xml:space="preserve">Source:</w:t>
      </w:r>
      <w:r>
        <w:t xml:space="preserve"> </w:t>
      </w:r>
      <w:hyperlink r:id="rId11">
        <w:r>
          <w:rPr>
            <w:rStyle w:val="Hyperlink"/>
          </w:rPr>
          <w:t xml:space="preserve">UCL — Kognitiver Boost hält 24 Stunden</w:t>
        </w:r>
      </w:hyperlink>
      <w:r>
        <w:t xml:space="preserve"> </w:t>
      </w:r>
      <w:r>
        <w:t xml:space="preserve">| Evidence | 2024</w:t>
      </w:r>
    </w:p>
    <w:bookmarkEnd w:id="33"/>
    <w:bookmarkStart w:id="36" w:name="Xeb5adaf03b34f51c65c40ab3f927d971052d5dd"/>
    <w:p>
      <w:pPr>
        <w:pStyle w:val="Heading3"/>
      </w:pPr>
      <w:r>
        <w:t xml:space="preserve">Ausdauer vs. Krafttraining: Verschiedene kognitive Profile</w:t>
      </w:r>
    </w:p>
    <w:p>
      <w:pPr>
        <w:pStyle w:val="FirstParagraph"/>
      </w:pPr>
      <w:r>
        <w:t xml:space="preserve">Es gibt kein</w:t>
      </w:r>
      <w:r>
        <w:t xml:space="preserve"> </w:t>
      </w:r>
      <w:r>
        <w:t xml:space="preserve">“bestes”</w:t>
      </w:r>
      <w:r>
        <w:t xml:space="preserve"> </w:t>
      </w:r>
      <w:r>
        <w:t xml:space="preserve">Training — die Wahl hängt vom Ziel ab.</w:t>
      </w:r>
      <w:r>
        <w:t xml:space="preserve"> </w:t>
      </w:r>
      <w:hyperlink r:id="rId34">
        <w:r>
          <w:rPr>
            <w:rStyle w:val="Hyperlink"/>
          </w:rPr>
          <w:t xml:space="preserve">Eine Netzwerk-Meta-Analyse zeigt: Krafttraining ist am effektivsten für globale kognitive Funktion (SMD = 0,55) und Hemmungskontrolle. Ausdauertraining ist überlegen für Gedächtnisleistung (SMD = 0,42). Mind-Body-Übungen (Tai Chi, Yoga) schneiden am besten bei Arbeitsgedächtnis (SMD = 2,45) und kognitiver Flexibilität ab.</w:t>
        </w:r>
      </w:hyperlink>
    </w:p>
    <w:p>
      <w:pPr>
        <w:pStyle w:val="Compact"/>
        <w:numPr>
          <w:ilvl w:val="0"/>
          <w:numId w:val="1014"/>
        </w:numPr>
      </w:pPr>
      <w:r>
        <w:t xml:space="preserve">Source:</w:t>
      </w:r>
      <w:r>
        <w:t xml:space="preserve"> </w:t>
      </w:r>
      <w:hyperlink r:id="rId34">
        <w:r>
          <w:rPr>
            <w:rStyle w:val="Hyperlink"/>
          </w:rPr>
          <w:t xml:space="preserve">Netzwerk-Meta-Analyse: Trainingstypen und Kognition</w:t>
        </w:r>
      </w:hyperlink>
      <w:r>
        <w:t xml:space="preserve"> </w:t>
      </w:r>
      <w:r>
        <w:t xml:space="preserve">| Evidence | 2025</w:t>
      </w:r>
    </w:p>
    <w:p>
      <w:pPr>
        <w:pStyle w:val="FirstParagraph"/>
      </w:pPr>
      <w:r>
        <w:t xml:space="preserve">Die Kombination ist am besten:</w:t>
      </w:r>
      <w:r>
        <w:t xml:space="preserve"> </w:t>
      </w:r>
      <w:hyperlink r:id="rId35">
        <w:r>
          <w:rPr>
            <w:rStyle w:val="Hyperlink"/>
          </w:rPr>
          <w:t xml:space="preserve">Ausdauertraining vergrößert das Hippocampusvolumen um 2% und verbessert Gedächtnis. Krafttraining erhöht die graue Substanz in den Basalganglien und verbessert Reaktionszeit. Kombiniertes Training erzielt bessere Ergebnisse als jede Einzelmodalität allein.</w:t>
        </w:r>
      </w:hyperlink>
    </w:p>
    <w:p>
      <w:pPr>
        <w:pStyle w:val="Compact"/>
        <w:numPr>
          <w:ilvl w:val="0"/>
          <w:numId w:val="1015"/>
        </w:numPr>
      </w:pPr>
      <w:r>
        <w:t xml:space="preserve">Source:</w:t>
      </w:r>
      <w:r>
        <w:t xml:space="preserve"> </w:t>
      </w:r>
      <w:hyperlink r:id="rId35">
        <w:r>
          <w:rPr>
            <w:rStyle w:val="Hyperlink"/>
          </w:rPr>
          <w:t xml:space="preserve">Exercise and Brain Health — Expert Review</w:t>
        </w:r>
      </w:hyperlink>
      <w:r>
        <w:t xml:space="preserve"> </w:t>
      </w:r>
      <w:r>
        <w:t xml:space="preserve">| Evidence | 2025</w:t>
      </w:r>
    </w:p>
    <w:bookmarkEnd w:id="36"/>
    <w:bookmarkStart w:id="38" w:name="bdnf-der-molekulare-mechanismus"/>
    <w:p>
      <w:pPr>
        <w:pStyle w:val="Heading3"/>
      </w:pPr>
      <w:r>
        <w:t xml:space="preserve">BDNF: Der molekulare Mechanismus</w:t>
      </w:r>
    </w:p>
    <w:p>
      <w:pPr>
        <w:pStyle w:val="FirstParagraph"/>
      </w:pPr>
      <w:r>
        <w:t xml:space="preserve">Der Hauptmechanismus hinter dem kognitiven Effekt von Bewegung ist BDNF (Brain-Derived Neurotrophic Factor).</w:t>
      </w:r>
      <w:r>
        <w:t xml:space="preserve"> </w:t>
      </w:r>
      <w:hyperlink r:id="rId37">
        <w:r>
          <w:rPr>
            <w:rStyle w:val="Hyperlink"/>
          </w:rPr>
          <w:t xml:space="preserve">BDNF fördert über den TrkB-Rezeptor synaptische Plastizität und Langzeitpotenzierung — die Grundlage für Lernen und Gedächtnis. Die Wirkung ist dosisabhängig: Höhere Intensität und Frequenz führen zu stärkerer BDNF-Produktion. Laktat aus dem Training fungiert als Signalmolekül, das über den SIRT1-Signalweg im Hippocampus BDNF freisetzt.</w:t>
        </w:r>
      </w:hyperlink>
    </w:p>
    <w:p>
      <w:pPr>
        <w:pStyle w:val="Compact"/>
        <w:numPr>
          <w:ilvl w:val="0"/>
          <w:numId w:val="1016"/>
        </w:numPr>
      </w:pPr>
      <w:r>
        <w:t xml:space="preserve">Source:</w:t>
      </w:r>
      <w:r>
        <w:t xml:space="preserve"> </w:t>
      </w:r>
      <w:hyperlink r:id="rId37">
        <w:r>
          <w:rPr>
            <w:rStyle w:val="Hyperlink"/>
          </w:rPr>
          <w:t xml:space="preserve">BDNF-Regulation durch Bewegung</w:t>
        </w:r>
      </w:hyperlink>
      <w:r>
        <w:t xml:space="preserve"> </w:t>
      </w:r>
      <w:r>
        <w:t xml:space="preserve">| Evidence | 2025</w:t>
      </w:r>
    </w:p>
    <w:bookmarkEnd w:id="38"/>
    <w:bookmarkStart w:id="41" w:name="minimum-effective-dose"/>
    <w:p>
      <w:pPr>
        <w:pStyle w:val="Heading3"/>
      </w:pPr>
      <w:r>
        <w:t xml:space="preserve">Minimum Effective Dose</w:t>
      </w:r>
    </w:p>
    <w:p>
      <w:pPr>
        <w:pStyle w:val="FirstParagraph"/>
      </w:pPr>
      <w:r>
        <w:t xml:space="preserve">Für systematische kognitive Verbesserung braucht es ein Mindestvolumen:</w:t>
      </w:r>
      <w:r>
        <w:t xml:space="preserve"> </w:t>
      </w:r>
      <w:hyperlink r:id="rId39">
        <w:r>
          <w:rPr>
            <w:rStyle w:val="Hyperlink"/>
          </w:rPr>
          <w:t xml:space="preserve">Als Minimum gelten 52 Stunden über 6 Monate (ca. 2 Stunden pro Woche). Optimal: 30 Minuten, 3-4 mal wöchentlich, bei 60-85% der maximalen Herzfrequenz.</w:t>
        </w:r>
      </w:hyperlink>
      <w:r>
        <w:t xml:space="preserve"> </w:t>
      </w:r>
      <w:r>
        <w:t xml:space="preserve">Aber auch unter der WHO-Empfehlung von 150 Minuten pro Woche treten</w:t>
      </w:r>
      <w:r>
        <w:t xml:space="preserve"> </w:t>
      </w:r>
      <w:hyperlink r:id="rId40">
        <w:r>
          <w:rPr>
            <w:rStyle w:val="Hyperlink"/>
          </w:rPr>
          <w:t xml:space="preserve">klinisch bedeutsame Effekte auf — insbesondere bei Krafttraining ab ca. 500 MET-Minuten/Woche</w:t>
        </w:r>
      </w:hyperlink>
      <w:r>
        <w:t xml:space="preserve">.</w:t>
      </w:r>
    </w:p>
    <w:p>
      <w:pPr>
        <w:pStyle w:val="Compact"/>
        <w:numPr>
          <w:ilvl w:val="0"/>
          <w:numId w:val="1017"/>
        </w:numPr>
      </w:pPr>
      <w:r>
        <w:t xml:space="preserve">Source:</w:t>
      </w:r>
      <w:r>
        <w:t xml:space="preserve"> </w:t>
      </w:r>
      <w:hyperlink r:id="rId39">
        <w:r>
          <w:rPr>
            <w:rStyle w:val="Hyperlink"/>
          </w:rPr>
          <w:t xml:space="preserve">Optimale Dosis bei MCI</w:t>
        </w:r>
      </w:hyperlink>
      <w:r>
        <w:t xml:space="preserve"> </w:t>
      </w:r>
      <w:r>
        <w:t xml:space="preserve">| Evidence | 2024</w:t>
      </w:r>
    </w:p>
    <w:p>
      <w:pPr>
        <w:pStyle w:val="Compact"/>
        <w:numPr>
          <w:ilvl w:val="0"/>
          <w:numId w:val="1017"/>
        </w:numPr>
      </w:pPr>
      <w:r>
        <w:t xml:space="preserve">Source:</w:t>
      </w:r>
      <w:r>
        <w:t xml:space="preserve"> </w:t>
      </w:r>
      <w:hyperlink r:id="rId40">
        <w:r>
          <w:rPr>
            <w:rStyle w:val="Hyperlink"/>
          </w:rPr>
          <w:t xml:space="preserve">Optimale Dosis und Typ — Bayesian NMA</w:t>
        </w:r>
      </w:hyperlink>
      <w:r>
        <w:t xml:space="preserve"> </w:t>
      </w:r>
      <w:r>
        <w:t xml:space="preserve">| Evidence | 2026</w:t>
      </w:r>
    </w:p>
    <w:bookmarkEnd w:id="41"/>
    <w:bookmarkStart w:id="43" w:name="gehen-und-kreativität"/>
    <w:p>
      <w:pPr>
        <w:pStyle w:val="Heading3"/>
      </w:pPr>
      <w:r>
        <w:t xml:space="preserve">Gehen und Kreativität</w:t>
      </w:r>
    </w:p>
    <w:p>
      <w:pPr>
        <w:pStyle w:val="FirstParagraph"/>
      </w:pPr>
      <w:r>
        <w:t xml:space="preserve">Ein Sonderfall:</w:t>
      </w:r>
      <w:r>
        <w:t xml:space="preserve"> </w:t>
      </w:r>
      <w:hyperlink r:id="rId42">
        <w:r>
          <w:rPr>
            <w:rStyle w:val="Hyperlink"/>
          </w:rPr>
          <w:t xml:space="preserve">Gehen steigert die kreative Leistung (divergentes Denken) um durchschnittlich 60%. Der Effekt tritt sowohl indoor als auch outdoor auf — es ist die Bewegung selbst, nicht die Umgebung.</w:t>
        </w:r>
      </w:hyperlink>
      <w:r>
        <w:t xml:space="preserve"> </w:t>
      </w:r>
      <w:r>
        <w:t xml:space="preserve">Wichtig: Gehen fördert Brainstorming und Ideenfindung, aber nicht konvergentes Denken (fokussiertes Problemlösen mit einer einzigen Lösung).</w:t>
      </w:r>
    </w:p>
    <w:p>
      <w:pPr>
        <w:pStyle w:val="Compact"/>
        <w:numPr>
          <w:ilvl w:val="0"/>
          <w:numId w:val="1018"/>
        </w:numPr>
      </w:pPr>
      <w:r>
        <w:t xml:space="preserve">Source:</w:t>
      </w:r>
      <w:r>
        <w:t xml:space="preserve"> </w:t>
      </w:r>
      <w:hyperlink r:id="rId42">
        <w:r>
          <w:rPr>
            <w:rStyle w:val="Hyperlink"/>
          </w:rPr>
          <w:t xml:space="preserve">Oppezzo &amp; Schwartz, Stanford — Gehen und Kreativität</w:t>
        </w:r>
      </w:hyperlink>
      <w:r>
        <w:t xml:space="preserve"> </w:t>
      </w:r>
      <w:r>
        <w:t xml:space="preserve">| Evidence | 2014</w:t>
      </w:r>
    </w:p>
    <w:p>
      <w:r>
        <w:pict>
          <v:rect style="width:0;height:1.5pt" o:hralign="center" o:hrstd="t" o:hr="t"/>
        </w:pict>
      </w:r>
    </w:p>
    <w:bookmarkEnd w:id="43"/>
    <w:bookmarkEnd w:id="44"/>
    <w:bookmarkStart w:id="59" w:name="ernährung-treibstoff-für-das-gehirn"/>
    <w:p>
      <w:pPr>
        <w:pStyle w:val="Heading2"/>
      </w:pPr>
      <w:r>
        <w:t xml:space="preserve">3. Ernährung — Treibstoff für das Gehirn</w:t>
      </w:r>
    </w:p>
    <w:bookmarkStart w:id="46" w:name="omega-3-fettsäuren"/>
    <w:p>
      <w:pPr>
        <w:pStyle w:val="Heading3"/>
      </w:pPr>
      <w:r>
        <w:t xml:space="preserve">Omega-3-Fettsäuren</w:t>
      </w:r>
    </w:p>
    <w:p>
      <w:pPr>
        <w:pStyle w:val="FirstParagraph"/>
      </w:pPr>
      <w:hyperlink r:id="rId45">
        <w:r>
          <w:rPr>
            <w:rStyle w:val="Hyperlink"/>
          </w:rPr>
          <w:t xml:space="preserve">Eine Dosis-Wirkungs-Meta-Analyse von 58 RCTs zeigt: Omega-3-Supplementierung bei 1.000-2.500 mg/Tag bewirkt signifikante Verbesserungen in primärem Gedächtnis (SMD: 0,87), visuell-räumlichen Funktionen (SMD: 0,86) und Verarbeitungsgeschwindigkeit (SMD: 0,50).</w:t>
        </w:r>
      </w:hyperlink>
      <w:r>
        <w:t xml:space="preserve"> </w:t>
      </w:r>
      <w:r>
        <w:t xml:space="preserve">Der Effekt steigt nicht unbegrenzt mit der Dosis — die Beziehung ist nicht-linear.</w:t>
      </w:r>
    </w:p>
    <w:p>
      <w:pPr>
        <w:pStyle w:val="Compact"/>
        <w:numPr>
          <w:ilvl w:val="0"/>
          <w:numId w:val="1019"/>
        </w:numPr>
      </w:pPr>
      <w:r>
        <w:t xml:space="preserve">Source:</w:t>
      </w:r>
      <w:r>
        <w:t xml:space="preserve"> </w:t>
      </w:r>
      <w:hyperlink r:id="rId45">
        <w:r>
          <w:rPr>
            <w:rStyle w:val="Hyperlink"/>
          </w:rPr>
          <w:t xml:space="preserve">Omega-3 und Kognition — Dosis-Wirkungs-Meta-Analyse</w:t>
        </w:r>
      </w:hyperlink>
      <w:r>
        <w:t xml:space="preserve"> </w:t>
      </w:r>
      <w:r>
        <w:t xml:space="preserve">| Evidence | 2025</w:t>
      </w:r>
    </w:p>
    <w:bookmarkEnd w:id="46"/>
    <w:bookmarkStart w:id="48" w:name="mediterrane-ernährung"/>
    <w:p>
      <w:pPr>
        <w:pStyle w:val="Heading3"/>
      </w:pPr>
      <w:r>
        <w:t xml:space="preserve">Mediterrane Ernährung</w:t>
      </w:r>
    </w:p>
    <w:p>
      <w:pPr>
        <w:pStyle w:val="FirstParagraph"/>
      </w:pPr>
      <w:r>
        <w:t xml:space="preserve">Das am besten untersuchte Ernährungsmuster für kognitive Gesundheit:</w:t>
      </w:r>
      <w:r>
        <w:t xml:space="preserve"> </w:t>
      </w:r>
      <w:hyperlink r:id="rId47">
        <w:r>
          <w:rPr>
            <w:rStyle w:val="Hyperlink"/>
          </w:rPr>
          <w:t xml:space="preserve">Eine Meta-Analyse von 23 Studien zeigt eine Risikoreduktion von 18% für kognitive Beeinträchtigung, 11% für Demenz und 30% für Alzheimer bei hoher Adhärenz zur Mittelmeerdiät.</w:t>
        </w:r>
      </w:hyperlink>
      <w:r>
        <w:t xml:space="preserve"> </w:t>
      </w:r>
      <w:r>
        <w:t xml:space="preserve">Die Mechanismen umfassen antioxidative und entzündungshemmende Effekte sowie verbesserte synaptische Plastizität.</w:t>
      </w:r>
    </w:p>
    <w:p>
      <w:pPr>
        <w:pStyle w:val="Compact"/>
        <w:numPr>
          <w:ilvl w:val="0"/>
          <w:numId w:val="1020"/>
        </w:numPr>
      </w:pPr>
      <w:r>
        <w:t xml:space="preserve">Source:</w:t>
      </w:r>
      <w:r>
        <w:t xml:space="preserve"> </w:t>
      </w:r>
      <w:hyperlink r:id="rId47">
        <w:r>
          <w:rPr>
            <w:rStyle w:val="Hyperlink"/>
          </w:rPr>
          <w:t xml:space="preserve">Mediterrane Ernährung und kognitive Gesundheit</w:t>
        </w:r>
      </w:hyperlink>
      <w:r>
        <w:t xml:space="preserve"> </w:t>
      </w:r>
      <w:r>
        <w:t xml:space="preserve">| Evidence | 2025</w:t>
      </w:r>
    </w:p>
    <w:bookmarkEnd w:id="48"/>
    <w:bookmarkStart w:id="49" w:name="koffein-die-dosis-macht-das-gift"/>
    <w:p>
      <w:pPr>
        <w:pStyle w:val="Heading3"/>
      </w:pPr>
      <w:r>
        <w:t xml:space="preserve">Koffein: Die Dosis macht das Gift</w:t>
      </w:r>
    </w:p>
    <w:p>
      <w:pPr>
        <w:pStyle w:val="FirstParagraph"/>
      </w:pPr>
      <w:r>
        <w:t xml:space="preserve">Koffein ist das weltweit meistgenutzte Stimulans — aber die Dosis-Wirkungs-Beziehung ist komplex.</w:t>
      </w:r>
      <w:r>
        <w:t xml:space="preserve"> </w:t>
      </w:r>
      <w:hyperlink r:id="rId14">
        <w:r>
          <w:rPr>
            <w:rStyle w:val="Hyperlink"/>
          </w:rPr>
          <w:t xml:space="preserve">Eine Meta-Analyse von 31 RCTs (1.455 Teilnehmer) zeigt: Höhere Dosen verbessern die Reaktionszeit linear weiter, aber die Genauigkeit folgt einer umgekehrten U-Kurve — sie steigt bis zu einem Punkt und fällt dann wieder ab.</w:t>
        </w:r>
      </w:hyperlink>
      <w:r>
        <w:t xml:space="preserve"> </w:t>
      </w:r>
      <w:r>
        <w:t xml:space="preserve">Niedrige bis moderate Dosen (ca. 40-200 mg, entspricht 1-2 Tassen Kaffee) sind optimal für Präzisionsarbeit.</w:t>
      </w:r>
    </w:p>
    <w:p>
      <w:pPr>
        <w:pStyle w:val="Compact"/>
        <w:numPr>
          <w:ilvl w:val="0"/>
          <w:numId w:val="1021"/>
        </w:numPr>
      </w:pPr>
      <w:r>
        <w:t xml:space="preserve">Source:</w:t>
      </w:r>
      <w:r>
        <w:t xml:space="preserve"> </w:t>
      </w:r>
      <w:hyperlink r:id="rId14">
        <w:r>
          <w:rPr>
            <w:rStyle w:val="Hyperlink"/>
          </w:rPr>
          <w:t xml:space="preserve">Koffein und Aufmerksamkeit — Meta-Analyse</w:t>
        </w:r>
      </w:hyperlink>
      <w:r>
        <w:t xml:space="preserve"> </w:t>
      </w:r>
      <w:r>
        <w:t xml:space="preserve">| Evidence | 2025</w:t>
      </w:r>
    </w:p>
    <w:bookmarkEnd w:id="49"/>
    <w:bookmarkStart w:id="51" w:name="hydration"/>
    <w:p>
      <w:pPr>
        <w:pStyle w:val="Heading3"/>
      </w:pPr>
      <w:r>
        <w:t xml:space="preserve">Hydration</w:t>
      </w:r>
    </w:p>
    <w:p>
      <w:pPr>
        <w:pStyle w:val="FirstParagraph"/>
      </w:pPr>
      <w:hyperlink r:id="rId50">
        <w:r>
          <w:rPr>
            <w:rStyle w:val="Hyperlink"/>
          </w:rPr>
          <w:t xml:space="preserve">Dehydration beeinträchtigt die kognitive Leistung signifikant (Effektstärke: -0,21). Aufmerksamkeit ist am stärksten betroffen (ES: -0,52), gefolgt von Motorkoordination (ES: -0,40). Kritische Schwelle: Ab 2% Körpergewichtsverlust durch Flüssigkeitsmangel — oft noch ohne Durstgefühl — steigt die Beeinträchtigung deutlich.</w:t>
        </w:r>
      </w:hyperlink>
    </w:p>
    <w:p>
      <w:pPr>
        <w:pStyle w:val="Compact"/>
        <w:numPr>
          <w:ilvl w:val="0"/>
          <w:numId w:val="1022"/>
        </w:numPr>
      </w:pPr>
      <w:r>
        <w:t xml:space="preserve">Source:</w:t>
      </w:r>
      <w:r>
        <w:t xml:space="preserve"> </w:t>
      </w:r>
      <w:hyperlink r:id="rId50">
        <w:r>
          <w:rPr>
            <w:rStyle w:val="Hyperlink"/>
          </w:rPr>
          <w:t xml:space="preserve">Dehydration und Kognition — Meta-Analyse</w:t>
        </w:r>
      </w:hyperlink>
      <w:r>
        <w:t xml:space="preserve"> </w:t>
      </w:r>
      <w:r>
        <w:t xml:space="preserve">| Evidence | 2018</w:t>
      </w:r>
    </w:p>
    <w:bookmarkEnd w:id="51"/>
    <w:bookmarkStart w:id="53" w:name="mahlzeiten-timing"/>
    <w:p>
      <w:pPr>
        <w:pStyle w:val="Heading3"/>
      </w:pPr>
      <w:r>
        <w:t xml:space="preserve">Mahlzeiten-Timing</w:t>
      </w:r>
    </w:p>
    <w:p>
      <w:pPr>
        <w:pStyle w:val="FirstParagraph"/>
      </w:pPr>
      <w:hyperlink r:id="rId52">
        <w:r>
          <w:rPr>
            <w:rStyle w:val="Hyperlink"/>
          </w:rPr>
          <w:t xml:space="preserve">Kurzfristiges Fasten (unter 24h) beeinträchtigt die kognitive Leistung im Durchschnitt nicht — aber mit einem Tageszeit-Effekt: Mit jeder zusätzlichen Tagesstunde verschlechtert sich die Leistung fastender Personen relativ zu gesättigten.</w:t>
        </w:r>
      </w:hyperlink>
      <w:r>
        <w:t xml:space="preserve"> </w:t>
      </w:r>
      <w:r>
        <w:t xml:space="preserve">Praktisch bedeutet das: Frühstück auslassen ist kein Problem für die Morgenkognition, aber nachmittägliches Fasten verstärkt natürliche Leistungsdellen.</w:t>
      </w:r>
    </w:p>
    <w:p>
      <w:pPr>
        <w:pStyle w:val="Compact"/>
        <w:numPr>
          <w:ilvl w:val="0"/>
          <w:numId w:val="1023"/>
        </w:numPr>
      </w:pPr>
      <w:r>
        <w:t xml:space="preserve">Source:</w:t>
      </w:r>
      <w:r>
        <w:t xml:space="preserve"> </w:t>
      </w:r>
      <w:hyperlink r:id="rId52">
        <w:r>
          <w:rPr>
            <w:rStyle w:val="Hyperlink"/>
          </w:rPr>
          <w:t xml:space="preserve">APA — Fasten und Kognition</w:t>
        </w:r>
      </w:hyperlink>
      <w:r>
        <w:t xml:space="preserve"> </w:t>
      </w:r>
      <w:r>
        <w:t xml:space="preserve">| Evidence | 2025</w:t>
      </w:r>
    </w:p>
    <w:bookmarkEnd w:id="53"/>
    <w:bookmarkStart w:id="56" w:name="kreatin-als-kognitiver-verstärker"/>
    <w:p>
      <w:pPr>
        <w:pStyle w:val="Heading3"/>
      </w:pPr>
      <w:r>
        <w:t xml:space="preserve">Kreatin als kognitiver Verstärker</w:t>
      </w:r>
    </w:p>
    <w:p>
      <w:pPr>
        <w:pStyle w:val="FirstParagraph"/>
      </w:pPr>
      <w:r>
        <w:t xml:space="preserve">Kreatin wird meist als Sportergänzung gesehen, hat aber zunehmende Evidenz als Kognitions-Booster.</w:t>
      </w:r>
      <w:r>
        <w:t xml:space="preserve"> </w:t>
      </w:r>
      <w:hyperlink r:id="rId54">
        <w:r>
          <w:rPr>
            <w:rStyle w:val="Hyperlink"/>
          </w:rPr>
          <w:t xml:space="preserve">Eine Meta-Analyse von 16 Studien zeigt signifikante Verbesserungen bei Gedächtnis (SMD: 0,31) und Verarbeitungsgeschwindigkeit (SMD: -0,51).</w:t>
        </w:r>
      </w:hyperlink>
      <w:r>
        <w:t xml:space="preserve"> </w:t>
      </w:r>
      <w:r>
        <w:t xml:space="preserve">Besonders bemerkenswert:</w:t>
      </w:r>
      <w:r>
        <w:t xml:space="preserve"> </w:t>
      </w:r>
      <w:hyperlink r:id="rId55">
        <w:r>
          <w:rPr>
            <w:rStyle w:val="Hyperlink"/>
          </w:rPr>
          <w:t xml:space="preserve">Eine Einzeldosis-Studie zeigt, dass Kreatin bereits nach 3 Stunden die kognitive Leistung bei Schlafentzug verbessert, mit Wirkdauer bis zu 9 Stunden.</w:t>
        </w:r>
      </w:hyperlink>
    </w:p>
    <w:p>
      <w:pPr>
        <w:pStyle w:val="Compact"/>
        <w:numPr>
          <w:ilvl w:val="0"/>
          <w:numId w:val="1024"/>
        </w:numPr>
      </w:pPr>
      <w:r>
        <w:t xml:space="preserve">Source:</w:t>
      </w:r>
      <w:r>
        <w:t xml:space="preserve"> </w:t>
      </w:r>
      <w:hyperlink r:id="rId54">
        <w:r>
          <w:rPr>
            <w:rStyle w:val="Hyperlink"/>
          </w:rPr>
          <w:t xml:space="preserve">Kreatin und Kognition — Meta-Analyse</w:t>
        </w:r>
      </w:hyperlink>
      <w:r>
        <w:t xml:space="preserve"> </w:t>
      </w:r>
      <w:r>
        <w:t xml:space="preserve">| Evidence | 2024</w:t>
      </w:r>
    </w:p>
    <w:p>
      <w:pPr>
        <w:pStyle w:val="Compact"/>
        <w:numPr>
          <w:ilvl w:val="0"/>
          <w:numId w:val="1024"/>
        </w:numPr>
      </w:pPr>
      <w:r>
        <w:t xml:space="preserve">Source:</w:t>
      </w:r>
      <w:r>
        <w:t xml:space="preserve"> </w:t>
      </w:r>
      <w:hyperlink r:id="rId55">
        <w:r>
          <w:rPr>
            <w:rStyle w:val="Hyperlink"/>
          </w:rPr>
          <w:t xml:space="preserve">FZ Jülich — Kreatin bei Schlafmangel</w:t>
        </w:r>
      </w:hyperlink>
      <w:r>
        <w:t xml:space="preserve"> </w:t>
      </w:r>
      <w:r>
        <w:t xml:space="preserve">| Evidence | 2024</w:t>
      </w:r>
    </w:p>
    <w:bookmarkEnd w:id="56"/>
    <w:bookmarkStart w:id="58" w:name="nootropika-die-ernüchternde-realität"/>
    <w:p>
      <w:pPr>
        <w:pStyle w:val="Heading3"/>
      </w:pPr>
      <w:r>
        <w:t xml:space="preserve">Nootropika: Die ernüchternde Realität</w:t>
      </w:r>
    </w:p>
    <w:p>
      <w:pPr>
        <w:pStyle w:val="FirstParagraph"/>
      </w:pPr>
      <w:hyperlink r:id="rId57">
        <w:r>
          <w:rPr>
            <w:rStyle w:val="Hyperlink"/>
          </w:rPr>
          <w:t xml:space="preserve">Ein umfassender Review (Schwerpunkt 2020-2025) zeigt: Für gesunde Personen ist das Nutzen-Risiko-Verhältnis von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“Smart Drugs”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(Modafinil, Methylphenidat) ungünstig — die Basiskognition ist bereits optimal, Verbesserungspotenzial begrenzt, Risiken (Abhängigkeit, kardiovaskuläre Komplikationen, Schlafstörungen) real.</w:t>
        </w:r>
      </w:hyperlink>
      <w:r>
        <w:t xml:space="preserve"> </w:t>
      </w:r>
      <w:r>
        <w:t xml:space="preserve">Pflanzliche Nootropika wie Bacopa monnieri zeigen moderate Effekte auf Gedächtnis, aber die Studienlage ist dünn. Mikrodosierung von Psychedelika konnte in placebokontrollierten Studien keine starken kognitiven Vorteile nachweisen.</w:t>
      </w:r>
    </w:p>
    <w:p>
      <w:pPr>
        <w:pStyle w:val="Compact"/>
        <w:numPr>
          <w:ilvl w:val="0"/>
          <w:numId w:val="1025"/>
        </w:numPr>
      </w:pPr>
      <w:r>
        <w:t xml:space="preserve">Source:</w:t>
      </w:r>
      <w:r>
        <w:t xml:space="preserve"> </w:t>
      </w:r>
      <w:hyperlink r:id="rId57">
        <w:r>
          <w:rPr>
            <w:rStyle w:val="Hyperlink"/>
          </w:rPr>
          <w:t xml:space="preserve">Nootropika-Review</w:t>
        </w:r>
      </w:hyperlink>
      <w:r>
        <w:t xml:space="preserve"> </w:t>
      </w:r>
      <w:r>
        <w:t xml:space="preserve">| Orientation | 2025</w:t>
      </w:r>
    </w:p>
    <w:p>
      <w:r>
        <w:pict>
          <v:rect style="width:0;height:1.5pt" o:hralign="center" o:hrstd="t" o:hr="t"/>
        </w:pict>
      </w:r>
    </w:p>
    <w:bookmarkEnd w:id="58"/>
    <w:bookmarkEnd w:id="59"/>
    <w:bookmarkStart w:id="75" w:name="Xc8263986158ef6c52345bf5ba8dc51447f4f372"/>
    <w:p>
      <w:pPr>
        <w:pStyle w:val="Heading2"/>
      </w:pPr>
      <w:r>
        <w:t xml:space="preserve">4. Lichtexposition — Der unterschätzte Taktgeber</w:t>
      </w:r>
    </w:p>
    <w:bookmarkStart w:id="61" w:name="empfohlene-lux-werte"/>
    <w:p>
      <w:pPr>
        <w:pStyle w:val="Heading3"/>
      </w:pPr>
      <w:r>
        <w:t xml:space="preserve">Empfohlene Lux-Werte</w:t>
      </w:r>
    </w:p>
    <w:p>
      <w:pPr>
        <w:pStyle w:val="FirstParagraph"/>
      </w:pPr>
      <w:hyperlink r:id="rId60">
        <w:r>
          <w:rPr>
            <w:rStyle w:val="Hyperlink"/>
          </w:rPr>
          <w:t xml:space="preserve">Ein internationaler Expertenkonsens empfiehlt: Tagsüber mindestens 250 Lux melanopische äquivalente Tageslichtbeleuchtung (MEDI) auf Augenhöhe. Abends (3+ Stunden vor Schlaf): Maximal 10 Lux MEDI. Nachts: Maximal 1 Lux MEDI.</w:t>
        </w:r>
      </w:hyperlink>
      <w:r>
        <w:t xml:space="preserve"> </w:t>
      </w:r>
      <w:r>
        <w:t xml:space="preserve">Diese Werte basieren auf der CIE S 026:2018 und erzeugen laut Laborstudien nahezu maximale circadiane Reaktionen.</w:t>
      </w:r>
    </w:p>
    <w:p>
      <w:pPr>
        <w:pStyle w:val="Compact"/>
        <w:numPr>
          <w:ilvl w:val="0"/>
          <w:numId w:val="1026"/>
        </w:numPr>
      </w:pPr>
      <w:r>
        <w:t xml:space="preserve">Source:</w:t>
      </w:r>
      <w:r>
        <w:t xml:space="preserve"> </w:t>
      </w:r>
      <w:hyperlink r:id="rId60">
        <w:r>
          <w:rPr>
            <w:rStyle w:val="Hyperlink"/>
          </w:rPr>
          <w:t xml:space="preserve">Internationaler Konsens — Lichtempfehlungen</w:t>
        </w:r>
      </w:hyperlink>
      <w:r>
        <w:t xml:space="preserve"> </w:t>
      </w:r>
      <w:r>
        <w:t xml:space="preserve">| Evidence | 2022</w:t>
      </w:r>
    </w:p>
    <w:bookmarkEnd w:id="61"/>
    <w:bookmarkStart w:id="64" w:name="licht-und-wachheit"/>
    <w:p>
      <w:pPr>
        <w:pStyle w:val="Heading3"/>
      </w:pPr>
      <w:r>
        <w:t xml:space="preserve">Licht und Wachheit</w:t>
      </w:r>
    </w:p>
    <w:p>
      <w:pPr>
        <w:pStyle w:val="FirstParagraph"/>
      </w:pPr>
      <w:hyperlink r:id="rId62">
        <w:r>
          <w:rPr>
            <w:rStyle w:val="Hyperlink"/>
          </w:rPr>
          <w:t xml:space="preserve">Eine Meta-Analyse von 29 Studien (1.210 Teilnehmer) zeigt: Lichtexposition verbessert die subjektive Wachheit signifikant (SMD = -0,28) und die objektive Wachheit (SMD = -0,34). Kaltes Licht (5.000-6.500K Farbtemperatur) ist signifikant wirksamer als warmes Licht.</w:t>
        </w:r>
      </w:hyperlink>
    </w:p>
    <w:p>
      <w:pPr>
        <w:pStyle w:val="Compact"/>
        <w:numPr>
          <w:ilvl w:val="0"/>
          <w:numId w:val="1027"/>
        </w:numPr>
      </w:pPr>
      <w:r>
        <w:t xml:space="preserve">Source:</w:t>
      </w:r>
      <w:r>
        <w:t xml:space="preserve"> </w:t>
      </w:r>
      <w:hyperlink r:id="rId62">
        <w:r>
          <w:rPr>
            <w:rStyle w:val="Hyperlink"/>
          </w:rPr>
          <w:t xml:space="preserve">Licht und Wachheit — Meta-Analyse</w:t>
        </w:r>
      </w:hyperlink>
      <w:r>
        <w:t xml:space="preserve"> </w:t>
      </w:r>
      <w:r>
        <w:t xml:space="preserve">| Evidence | 2022</w:t>
      </w:r>
    </w:p>
    <w:p>
      <w:pPr>
        <w:pStyle w:val="FirstParagraph"/>
      </w:pPr>
      <w:r>
        <w:t xml:space="preserve">Aber:</w:t>
      </w:r>
      <w:r>
        <w:t xml:space="preserve"> </w:t>
      </w:r>
      <w:hyperlink r:id="rId63">
        <w:r>
          <w:rPr>
            <w:rStyle w:val="Hyperlink"/>
          </w:rPr>
          <w:t xml:space="preserve">Kurzwelliges blaues Licht verbessert die Wachheit und Leistung bei einfachen Aufgaben (Reaktionszeit), jedoch nicht bei komplexen kognitiven Aufgaben wie Arbeitsgedächtnis und Exekutivfunktionen.</w:t>
        </w:r>
      </w:hyperlink>
      <w:r>
        <w:t xml:space="preserve"> </w:t>
      </w:r>
      <w:r>
        <w:t xml:space="preserve">Für kognitive Höchstleistung bei anspruchsvollen Aufgaben reicht Licht allein nicht aus.</w:t>
      </w:r>
    </w:p>
    <w:p>
      <w:pPr>
        <w:pStyle w:val="Compact"/>
        <w:numPr>
          <w:ilvl w:val="0"/>
          <w:numId w:val="1028"/>
        </w:numPr>
      </w:pPr>
      <w:r>
        <w:t xml:space="preserve">Source:</w:t>
      </w:r>
      <w:r>
        <w:t xml:space="preserve"> </w:t>
      </w:r>
      <w:hyperlink r:id="rId63">
        <w:r>
          <w:rPr>
            <w:rStyle w:val="Hyperlink"/>
          </w:rPr>
          <w:t xml:space="preserve">Licht und höhere Kognition — Systematischer Review</w:t>
        </w:r>
      </w:hyperlink>
      <w:r>
        <w:t xml:space="preserve"> </w:t>
      </w:r>
      <w:r>
        <w:t xml:space="preserve">| Evidence | 2021</w:t>
      </w:r>
    </w:p>
    <w:bookmarkEnd w:id="64"/>
    <w:bookmarkStart w:id="66" w:name="morgenlicht-und-innere-uhr"/>
    <w:p>
      <w:pPr>
        <w:pStyle w:val="Heading3"/>
      </w:pPr>
      <w:r>
        <w:t xml:space="preserve">Morgenlicht und innere Uhr</w:t>
      </w:r>
    </w:p>
    <w:p>
      <w:pPr>
        <w:pStyle w:val="FirstParagraph"/>
      </w:pPr>
      <w:hyperlink r:id="rId65">
        <w:r>
          <w:rPr>
            <w:rStyle w:val="Hyperlink"/>
          </w:rPr>
          <w:t xml:space="preserve">Eine Studie mit 1.762 Erwachsenen zeigt: Jede 30-minütige Morgensonnenlichtexposition (vor 10 Uhr) ist mit einem um 23 Minuten früheren Schlafmittelpunkt und signifikant besserer Schlafqualität assoziiert.</w:t>
        </w:r>
      </w:hyperlink>
      <w:r>
        <w:t xml:space="preserve"> </w:t>
      </w:r>
      <w:r>
        <w:t xml:space="preserve">Mittagslicht zeigte keine signifikante Wirkung auf den Schlafrhythmus — das Timing des Lichts ist entscheidend.</w:t>
      </w:r>
    </w:p>
    <w:p>
      <w:pPr>
        <w:pStyle w:val="Compact"/>
        <w:numPr>
          <w:ilvl w:val="0"/>
          <w:numId w:val="1029"/>
        </w:numPr>
      </w:pPr>
      <w:r>
        <w:t xml:space="preserve">Source:</w:t>
      </w:r>
      <w:r>
        <w:t xml:space="preserve"> </w:t>
      </w:r>
      <w:hyperlink r:id="rId65">
        <w:r>
          <w:rPr>
            <w:rStyle w:val="Hyperlink"/>
          </w:rPr>
          <w:t xml:space="preserve">Morgenlicht und Schlafregulation</w:t>
        </w:r>
      </w:hyperlink>
      <w:r>
        <w:t xml:space="preserve"> </w:t>
      </w:r>
      <w:r>
        <w:t xml:space="preserve">| Evidence | 2025</w:t>
      </w:r>
    </w:p>
    <w:bookmarkEnd w:id="66"/>
    <w:bookmarkStart w:id="69" w:name="saisonale-effekte"/>
    <w:p>
      <w:pPr>
        <w:pStyle w:val="Heading3"/>
      </w:pPr>
      <w:r>
        <w:t xml:space="preserve">Saisonale Effekte</w:t>
      </w:r>
    </w:p>
    <w:p>
      <w:pPr>
        <w:pStyle w:val="FirstParagraph"/>
      </w:pPr>
      <w:r>
        <w:t xml:space="preserve">Kognitive Leistungsfähigkeit schwankt mit den Jahreszeiten.</w:t>
      </w:r>
      <w:r>
        <w:t xml:space="preserve"> </w:t>
      </w:r>
      <w:hyperlink r:id="rId67">
        <w:r>
          <w:rPr>
            <w:rStyle w:val="Hyperlink"/>
          </w:rPr>
          <w:t xml:space="preserve">Die Rotterdam-Studie (10.276 Teilnehmer, 23.192 Tests) fand eine saisonale Variation von 0,05 Standardabweichungen — Spitzenleistung Ende Juni, Tief im Winter. Der Effekt entspricht etwa 3-5 Monaten altersbedingtem kognitivem Abbau.</w:t>
        </w:r>
      </w:hyperlink>
    </w:p>
    <w:p>
      <w:pPr>
        <w:pStyle w:val="Compact"/>
        <w:numPr>
          <w:ilvl w:val="0"/>
          <w:numId w:val="1030"/>
        </w:numPr>
      </w:pPr>
      <w:r>
        <w:t xml:space="preserve">Source:</w:t>
      </w:r>
      <w:r>
        <w:t xml:space="preserve"> </w:t>
      </w:r>
      <w:hyperlink r:id="rId67">
        <w:r>
          <w:rPr>
            <w:rStyle w:val="Hyperlink"/>
          </w:rPr>
          <w:t xml:space="preserve">Saisonale Kognition — Rotterdam-Studie</w:t>
        </w:r>
      </w:hyperlink>
      <w:r>
        <w:t xml:space="preserve"> </w:t>
      </w:r>
      <w:r>
        <w:t xml:space="preserve">| Evidence | 2022</w:t>
      </w:r>
    </w:p>
    <w:p>
      <w:pPr>
        <w:pStyle w:val="FirstParagraph"/>
      </w:pPr>
      <w:hyperlink r:id="rId68">
        <w:r>
          <w:rPr>
            <w:rStyle w:val="Hyperlink"/>
          </w:rPr>
          <w:t xml:space="preserve">Helle Lichttherapie (10.000 Lux, 30 Minuten morgens) ist bei saisonaler Depression so wirksam wie Antidepressiva</w:t>
        </w:r>
      </w:hyperlink>
      <w:r>
        <w:t xml:space="preserve"> </w:t>
      </w:r>
      <w:r>
        <w:t xml:space="preserve">und verbessert auch Aufmerksamkeit und Vigilanz bei subklinischer Symptomatik — ein potenzielles Werkzeug für die kognitive Leistungsoptimierung im Winter.</w:t>
      </w:r>
    </w:p>
    <w:p>
      <w:pPr>
        <w:pStyle w:val="Compact"/>
        <w:numPr>
          <w:ilvl w:val="0"/>
          <w:numId w:val="1031"/>
        </w:numPr>
      </w:pPr>
      <w:r>
        <w:t xml:space="preserve">Source:</w:t>
      </w:r>
      <w:r>
        <w:t xml:space="preserve"> </w:t>
      </w:r>
      <w:hyperlink r:id="rId68">
        <w:r>
          <w:rPr>
            <w:rStyle w:val="Hyperlink"/>
          </w:rPr>
          <w:t xml:space="preserve">Helle Lichttherapie — Review</w:t>
        </w:r>
      </w:hyperlink>
      <w:r>
        <w:t xml:space="preserve"> </w:t>
      </w:r>
      <w:r>
        <w:t xml:space="preserve">| Evidence | 2019</w:t>
      </w:r>
    </w:p>
    <w:bookmarkEnd w:id="69"/>
    <w:bookmarkStart w:id="73" w:name="blaulichtfilter-brillen-ein-mythos"/>
    <w:p>
      <w:pPr>
        <w:pStyle w:val="Heading3"/>
      </w:pPr>
      <w:r>
        <w:t xml:space="preserve">Blaulichtfilter-Brillen: Ein Mythos</w:t>
      </w:r>
    </w:p>
    <w:p>
      <w:pPr>
        <w:pStyle w:val="FirstParagraph"/>
      </w:pPr>
      <w:hyperlink r:id="rId70">
        <w:r>
          <w:rPr>
            <w:rStyle w:val="Hyperlink"/>
          </w:rPr>
          <w:t xml:space="preserve">Ein Cochrane-Review von 17 RCTs (619 Teilnehmer) fand keinen Nachweis, dass Blaulichtfilter-Brillen Augenbelastung reduzieren, die Sehschärfe verbessern oder die Schlafqualität steigern.</w:t>
        </w:r>
      </w:hyperlink>
      <w:r>
        <w:t xml:space="preserve"> </w:t>
      </w:r>
      <w:r>
        <w:t xml:space="preserve">Die Menge an blauem Licht von Bildschirmen beträgt nur etwa ein Tausendstel der natürlichen Tageslichtmenge.</w:t>
      </w:r>
      <w:r>
        <w:t xml:space="preserve"> </w:t>
      </w:r>
      <w:hyperlink r:id="rId71">
        <w:r>
          <w:rPr>
            <w:rStyle w:val="Hyperlink"/>
          </w:rPr>
          <w:t xml:space="preserve">Eine Meta-Analyse von 2025 bestätigte: Keine signifikante Reduktion der Einschlaflatenz durch Blaulichtfilter-Brillen.</w:t>
        </w:r>
      </w:hyperlink>
      <w:r>
        <w:t xml:space="preserve"> </w:t>
      </w:r>
      <w:r>
        <w:t xml:space="preserve">Das eigentliche Problem bei Bildschirmarbeit ist nicht blaues Licht, sondern</w:t>
      </w:r>
      <w:r>
        <w:t xml:space="preserve"> </w:t>
      </w:r>
      <w:hyperlink r:id="rId72">
        <w:r>
          <w:rPr>
            <w:rStyle w:val="Hyperlink"/>
          </w:rPr>
          <w:t xml:space="preserve">die Reduktion der Blinzelfrequenz von 15 auf etwa 5 Mal pro Minute</w:t>
        </w:r>
      </w:hyperlink>
      <w:r>
        <w:t xml:space="preserve">.</w:t>
      </w:r>
    </w:p>
    <w:p>
      <w:pPr>
        <w:pStyle w:val="Compact"/>
        <w:numPr>
          <w:ilvl w:val="0"/>
          <w:numId w:val="1032"/>
        </w:numPr>
      </w:pPr>
      <w:r>
        <w:t xml:space="preserve">Source:</w:t>
      </w:r>
      <w:r>
        <w:t xml:space="preserve"> </w:t>
      </w:r>
      <w:hyperlink r:id="rId70">
        <w:r>
          <w:rPr>
            <w:rStyle w:val="Hyperlink"/>
          </w:rPr>
          <w:t xml:space="preserve">Blaulichtfilter-Brillen — Cochrane Review</w:t>
        </w:r>
      </w:hyperlink>
      <w:r>
        <w:t xml:space="preserve"> </w:t>
      </w:r>
      <w:r>
        <w:t xml:space="preserve">| Evidence | 2023</w:t>
      </w:r>
    </w:p>
    <w:p>
      <w:pPr>
        <w:pStyle w:val="Compact"/>
        <w:numPr>
          <w:ilvl w:val="0"/>
          <w:numId w:val="1032"/>
        </w:numPr>
      </w:pPr>
      <w:r>
        <w:t xml:space="preserve">Source:</w:t>
      </w:r>
      <w:r>
        <w:t xml:space="preserve"> </w:t>
      </w:r>
      <w:hyperlink r:id="rId71">
        <w:r>
          <w:rPr>
            <w:rStyle w:val="Hyperlink"/>
          </w:rPr>
          <w:t xml:space="preserve">Blaulichtfilter und Schlaf — Meta-Analyse</w:t>
        </w:r>
      </w:hyperlink>
      <w:r>
        <w:t xml:space="preserve"> </w:t>
      </w:r>
      <w:r>
        <w:t xml:space="preserve">| Evidence | 2025</w:t>
      </w:r>
    </w:p>
    <w:p>
      <w:pPr>
        <w:pStyle w:val="Compact"/>
        <w:numPr>
          <w:ilvl w:val="0"/>
          <w:numId w:val="1032"/>
        </w:numPr>
      </w:pPr>
      <w:r>
        <w:t xml:space="preserve">Source:</w:t>
      </w:r>
      <w:r>
        <w:t xml:space="preserve"> </w:t>
      </w:r>
      <w:hyperlink r:id="rId72">
        <w:r>
          <w:rPr>
            <w:rStyle w:val="Hyperlink"/>
          </w:rPr>
          <w:t xml:space="preserve">Augengesundheit bei Bildschirmarbeit</w:t>
        </w:r>
      </w:hyperlink>
      <w:r>
        <w:t xml:space="preserve"> </w:t>
      </w:r>
      <w:r>
        <w:t xml:space="preserve">| Orientation | 2024</w:t>
      </w:r>
    </w:p>
    <w:bookmarkEnd w:id="73"/>
    <w:bookmarkStart w:id="74" w:name="X329cf418b44ddaa4a0acf2b06bf8a61a07b9360"/>
    <w:p>
      <w:pPr>
        <w:pStyle w:val="Heading3"/>
      </w:pPr>
      <w:r>
        <w:t xml:space="preserve">Das systematische Defizit der Büroarbeiter</w:t>
      </w:r>
    </w:p>
    <w:p>
      <w:pPr>
        <w:pStyle w:val="FirstParagraph"/>
      </w:pPr>
      <w:hyperlink r:id="rId13">
        <w:r>
          <w:rPr>
            <w:rStyle w:val="Hyperlink"/>
          </w:rPr>
          <w:t xml:space="preserve">Eine Studie der Bundesanstalt für Arbeitsschutz und Arbeitsmedizin (BAuA) mit 160 Beschäftigten zeigt: Büroarbeiter erhalten nur 19-23% der melanopischen Lichtdosis von Außenarbeitern. Im Winter ist das Defizit besonders gravierend.</w:t>
        </w:r>
      </w:hyperlink>
      <w:r>
        <w:t xml:space="preserve"> </w:t>
      </w:r>
      <w:r>
        <w:t xml:space="preserve">Dies macht aktive Maßnahmen — Tageslichtarbeitsplätze, Lichttherapielampen, bewusste Außenaufenthalte — für Wissensarbeiter besonders relevant.</w:t>
      </w:r>
    </w:p>
    <w:p>
      <w:pPr>
        <w:pStyle w:val="Compact"/>
        <w:numPr>
          <w:ilvl w:val="0"/>
          <w:numId w:val="1033"/>
        </w:numPr>
      </w:pPr>
      <w:r>
        <w:t xml:space="preserve">Source:</w:t>
      </w:r>
      <w:r>
        <w:t xml:space="preserve"> </w:t>
      </w:r>
      <w:hyperlink r:id="rId13">
        <w:r>
          <w:rPr>
            <w:rStyle w:val="Hyperlink"/>
          </w:rPr>
          <w:t xml:space="preserve">BAuA — Berufliche Lichtexposition</w:t>
        </w:r>
      </w:hyperlink>
      <w:r>
        <w:t xml:space="preserve"> </w:t>
      </w:r>
      <w:r>
        <w:t xml:space="preserve">| Evidence | 2023</w:t>
      </w:r>
    </w:p>
    <w:p>
      <w:r>
        <w:pict>
          <v:rect style="width:0;height:1.5pt" o:hralign="center" o:hrstd="t" o:hr="t"/>
        </w:pict>
      </w:r>
    </w:p>
    <w:bookmarkEnd w:id="74"/>
    <w:bookmarkEnd w:id="75"/>
    <w:bookmarkStart w:id="89" w:name="temperatur-und-arbeitsumgebung"/>
    <w:p>
      <w:pPr>
        <w:pStyle w:val="Heading2"/>
      </w:pPr>
      <w:r>
        <w:t xml:space="preserve">5. Temperatur und Arbeitsumgebung</w:t>
      </w:r>
    </w:p>
    <w:bookmarkStart w:id="78" w:name="optimale-raumtemperatur-20-24c"/>
    <w:p>
      <w:pPr>
        <w:pStyle w:val="Heading3"/>
      </w:pPr>
      <w:r>
        <w:t xml:space="preserve">Optimale Raumtemperatur: 20-24°C</w:t>
      </w:r>
    </w:p>
    <w:p>
      <w:pPr>
        <w:pStyle w:val="FirstParagraph"/>
      </w:pPr>
      <w:hyperlink r:id="rId76">
        <w:r>
          <w:rPr>
            <w:rStyle w:val="Hyperlink"/>
          </w:rPr>
          <w:t xml:space="preserve">Der optimale Temperaturbereich für kognitive Arbeit liegt zwischen 20-24°C. Bereits 4°C Abweichung verdoppeln die Wahrscheinlichkeit für Aufmerksamkeitsdefizite.</w:t>
        </w:r>
      </w:hyperlink>
      <w:r>
        <w:t xml:space="preserve"> </w:t>
      </w:r>
      <w:r>
        <w:t xml:space="preserve">Aber:</w:t>
      </w:r>
      <w:r>
        <w:t xml:space="preserve"> </w:t>
      </w:r>
      <w:hyperlink r:id="rId77">
        <w:r>
          <w:rPr>
            <w:rStyle w:val="Hyperlink"/>
          </w:rPr>
          <w:t xml:space="preserve">Die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“optimale”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Temperatur unterscheidet sich nach Geschlecht erheblich. Frauen zeigen bei wärmeren Temperaturen bessere Leistungen bei Mathe- und Sprachtests, Männer bei kühleren. Die Verbesserung bei Frauen ist stärker als der Leistungsabfall bei Männern</w:t>
        </w:r>
      </w:hyperlink>
      <w:r>
        <w:t xml:space="preserve"> </w:t>
      </w:r>
      <w:r>
        <w:t xml:space="preserve">— in gemischtgeschlechtlichen Büros ist eine leicht wärmere Einstellung also der bessere Kompromiss.</w:t>
      </w:r>
    </w:p>
    <w:p>
      <w:pPr>
        <w:pStyle w:val="Compact"/>
        <w:numPr>
          <w:ilvl w:val="0"/>
          <w:numId w:val="1034"/>
        </w:numPr>
      </w:pPr>
      <w:r>
        <w:t xml:space="preserve">Source:</w:t>
      </w:r>
      <w:r>
        <w:t xml:space="preserve"> </w:t>
      </w:r>
      <w:hyperlink r:id="rId76">
        <w:r>
          <w:rPr>
            <w:rStyle w:val="Hyperlink"/>
          </w:rPr>
          <w:t xml:space="preserve">Temperatur und kognitive Leistung</w:t>
        </w:r>
      </w:hyperlink>
      <w:r>
        <w:t xml:space="preserve"> </w:t>
      </w:r>
      <w:r>
        <w:t xml:space="preserve">| Evidence | 2024</w:t>
      </w:r>
    </w:p>
    <w:p>
      <w:pPr>
        <w:pStyle w:val="Compact"/>
        <w:numPr>
          <w:ilvl w:val="0"/>
          <w:numId w:val="1034"/>
        </w:numPr>
      </w:pPr>
      <w:r>
        <w:t xml:space="preserve">Source:</w:t>
      </w:r>
      <w:r>
        <w:t xml:space="preserve"> </w:t>
      </w:r>
      <w:hyperlink r:id="rId77">
        <w:r>
          <w:rPr>
            <w:rStyle w:val="Hyperlink"/>
          </w:rPr>
          <w:t xml:space="preserve">WZB — Geschlechterunterschiede bei Raumtemperatur</w:t>
        </w:r>
      </w:hyperlink>
      <w:r>
        <w:t xml:space="preserve"> </w:t>
      </w:r>
      <w:r>
        <w:t xml:space="preserve">| Evidence | 2019</w:t>
      </w:r>
    </w:p>
    <w:bookmarkEnd w:id="78"/>
    <w:bookmarkStart w:id="82" w:name="kälteexposition-wach-aber-leistungsfähig"/>
    <w:p>
      <w:pPr>
        <w:pStyle w:val="Heading3"/>
      </w:pPr>
      <w:r>
        <w:t xml:space="preserve">Kälteexposition: Wach, aber leistungsfähig?</w:t>
      </w:r>
    </w:p>
    <w:p>
      <w:pPr>
        <w:pStyle w:val="FirstParagraph"/>
      </w:pPr>
      <w:r>
        <w:t xml:space="preserve">Kalte Duschen und Eisbaden haben ein differenziertes Wirkprofil. Einerseits:</w:t>
      </w:r>
      <w:r>
        <w:t xml:space="preserve"> </w:t>
      </w:r>
      <w:hyperlink r:id="rId79">
        <w:r>
          <w:rPr>
            <w:rStyle w:val="Hyperlink"/>
          </w:rPr>
          <w:t xml:space="preserve">Kaltwasserimmersion bei 14°C erhöht den Noradrenalinspiegel um 530% und Dopamin um 250%</w:t>
        </w:r>
      </w:hyperlink>
      <w:r>
        <w:t xml:space="preserve"> </w:t>
      </w:r>
      <w:r>
        <w:t xml:space="preserve">— neurochemische Effekte, die Wachheit und Aufmerksamkeit steigern. Ein</w:t>
      </w:r>
      <w:r>
        <w:t xml:space="preserve"> </w:t>
      </w:r>
      <w:hyperlink r:id="rId80">
        <w:r>
          <w:rPr>
            <w:rStyle w:val="Hyperlink"/>
          </w:rPr>
          <w:t xml:space="preserve">5-minütiges Kaltwasserbad zeigt im fMRI verstärkte funktionelle Konnektivität zwischen großen Hirnnetzwerken</w:t>
        </w:r>
      </w:hyperlink>
      <w:r>
        <w:t xml:space="preserve">, was das subjektive</w:t>
      </w:r>
      <w:r>
        <w:t xml:space="preserve"> </w:t>
      </w:r>
      <w:r>
        <w:t xml:space="preserve">“Klarheitsgefühl”</w:t>
      </w:r>
      <w:r>
        <w:t xml:space="preserve"> </w:t>
      </w:r>
      <w:r>
        <w:t xml:space="preserve">nach Kältereizen erklärt.</w:t>
      </w:r>
    </w:p>
    <w:p>
      <w:pPr>
        <w:pStyle w:val="BodyText"/>
      </w:pPr>
      <w:r>
        <w:t xml:space="preserve">Andererseits:</w:t>
      </w:r>
      <w:r>
        <w:t xml:space="preserve"> </w:t>
      </w:r>
      <w:hyperlink r:id="rId81">
        <w:r>
          <w:rPr>
            <w:rStyle w:val="Hyperlink"/>
          </w:rPr>
          <w:t xml:space="preserve">Ein systematisches Review von 18 Studien zeigt, dass akute Kälteexposition in 15 von 18 Studien die kognitive Leistung beeinträchtigt — während man friert.</w:t>
        </w:r>
      </w:hyperlink>
      <w:r>
        <w:t xml:space="preserve"> </w:t>
      </w:r>
      <w:r>
        <w:t xml:space="preserve">Der Nutzen liegt im Danach: Kurze Kältereize (kalte Dusche) gefolgt von Erwärmung, nicht in anhaltendem Frieren.</w:t>
      </w:r>
    </w:p>
    <w:p>
      <w:pPr>
        <w:pStyle w:val="Compact"/>
        <w:numPr>
          <w:ilvl w:val="0"/>
          <w:numId w:val="1035"/>
        </w:numPr>
      </w:pPr>
      <w:r>
        <w:t xml:space="preserve">Source:</w:t>
      </w:r>
      <w:r>
        <w:t xml:space="preserve"> </w:t>
      </w:r>
      <w:hyperlink r:id="rId79">
        <w:r>
          <w:rPr>
            <w:rStyle w:val="Hyperlink"/>
          </w:rPr>
          <w:t xml:space="preserve">Kälteexposition und Neurotransmitter</w:t>
        </w:r>
      </w:hyperlink>
      <w:r>
        <w:t xml:space="preserve"> </w:t>
      </w:r>
      <w:r>
        <w:t xml:space="preserve">| Evidence | 2000</w:t>
      </w:r>
    </w:p>
    <w:p>
      <w:pPr>
        <w:pStyle w:val="Compact"/>
        <w:numPr>
          <w:ilvl w:val="0"/>
          <w:numId w:val="1035"/>
        </w:numPr>
      </w:pPr>
      <w:r>
        <w:t xml:space="preserve">Source:</w:t>
      </w:r>
      <w:r>
        <w:t xml:space="preserve"> </w:t>
      </w:r>
      <w:hyperlink r:id="rId80">
        <w:r>
          <w:rPr>
            <w:rStyle w:val="Hyperlink"/>
          </w:rPr>
          <w:t xml:space="preserve">Kaltwasser und Hirnnetzwerk-Konnektivität</w:t>
        </w:r>
      </w:hyperlink>
      <w:r>
        <w:t xml:space="preserve"> </w:t>
      </w:r>
      <w:r>
        <w:t xml:space="preserve">| Evidence | 2023</w:t>
      </w:r>
    </w:p>
    <w:p>
      <w:pPr>
        <w:pStyle w:val="Compact"/>
        <w:numPr>
          <w:ilvl w:val="0"/>
          <w:numId w:val="1035"/>
        </w:numPr>
      </w:pPr>
      <w:r>
        <w:t xml:space="preserve">Source:</w:t>
      </w:r>
      <w:r>
        <w:t xml:space="preserve"> </w:t>
      </w:r>
      <w:hyperlink r:id="rId81">
        <w:r>
          <w:rPr>
            <w:rStyle w:val="Hyperlink"/>
          </w:rPr>
          <w:t xml:space="preserve">Kälte und Kognition — Systematisches Review</w:t>
        </w:r>
      </w:hyperlink>
      <w:r>
        <w:t xml:space="preserve"> </w:t>
      </w:r>
      <w:r>
        <w:t xml:space="preserve">| Evidence | 2021</w:t>
      </w:r>
    </w:p>
    <w:bookmarkEnd w:id="82"/>
    <w:bookmarkStart w:id="84" w:name="X98e0b2c1c9b662ba58c08da0dd5444b7e0c41b7"/>
    <w:p>
      <w:pPr>
        <w:pStyle w:val="Heading3"/>
      </w:pPr>
      <w:r>
        <w:t xml:space="preserve">Luftqualität und CO₂: Der stille Leistungskiller</w:t>
      </w:r>
    </w:p>
    <w:p>
      <w:pPr>
        <w:pStyle w:val="FirstParagraph"/>
      </w:pPr>
      <w:hyperlink r:id="rId12">
        <w:r>
          <w:rPr>
            <w:rStyle w:val="Hyperlink"/>
          </w:rPr>
          <w:t xml:space="preserve">In einer kontrollierten Doppelblindstudie der Harvard T.H. Chan School sanken kognitive Leistungswerte bei 950 ppm CO₂ um 15% und bei 1.400 ppm um 50%. Am stärksten betroffen waren strategisches Denken (+183%) und Krisenreaktion (+97%) unter optimalen Bedingungen (550 ppm).</w:t>
        </w:r>
      </w:hyperlink>
      <w:r>
        <w:t xml:space="preserve"> </w:t>
      </w:r>
      <w:r>
        <w:t xml:space="preserve">Da viele Büros 800-1.500 ppm aufweisen, ist dies ein massiv unterschätzter Faktor.</w:t>
      </w:r>
    </w:p>
    <w:p>
      <w:pPr>
        <w:pStyle w:val="Compact"/>
        <w:numPr>
          <w:ilvl w:val="0"/>
          <w:numId w:val="1036"/>
        </w:numPr>
      </w:pPr>
      <w:r>
        <w:t xml:space="preserve">Source:</w:t>
      </w:r>
      <w:r>
        <w:t xml:space="preserve"> </w:t>
      </w:r>
      <w:hyperlink r:id="rId12">
        <w:r>
          <w:rPr>
            <w:rStyle w:val="Hyperlink"/>
          </w:rPr>
          <w:t xml:space="preserve">Harvard CogFx — CO₂ und Kognition</w:t>
        </w:r>
      </w:hyperlink>
      <w:r>
        <w:t xml:space="preserve"> </w:t>
      </w:r>
      <w:r>
        <w:t xml:space="preserve">| Evidence | 2016</w:t>
      </w:r>
    </w:p>
    <w:p>
      <w:pPr>
        <w:pStyle w:val="FirstParagraph"/>
      </w:pPr>
      <w:r>
        <w:t xml:space="preserve">Die</w:t>
      </w:r>
      <w:r>
        <w:t xml:space="preserve"> </w:t>
      </w:r>
      <w:hyperlink r:id="rId83">
        <w:r>
          <w:rPr>
            <w:rStyle w:val="Hyperlink"/>
          </w:rPr>
          <w:t xml:space="preserve">DGUV definiert unter 1.000 ppm als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“hygienisch unbedenklich”</w:t>
        </w:r>
      </w:hyperlink>
      <w:r>
        <w:t xml:space="preserve"> </w:t>
      </w:r>
      <w:r>
        <w:t xml:space="preserve">— aber laut der Harvard-Studie zeigt sich bereits bei 950 ppm ein 15%iger Leistungseinbruch. Die Regulierung hinkt der Forschung hinterher.</w:t>
      </w:r>
    </w:p>
    <w:p>
      <w:pPr>
        <w:pStyle w:val="Compact"/>
        <w:numPr>
          <w:ilvl w:val="0"/>
          <w:numId w:val="1037"/>
        </w:numPr>
      </w:pPr>
      <w:r>
        <w:t xml:space="preserve">Source:</w:t>
      </w:r>
      <w:r>
        <w:t xml:space="preserve"> </w:t>
      </w:r>
      <w:hyperlink r:id="rId83">
        <w:r>
          <w:rPr>
            <w:rStyle w:val="Hyperlink"/>
          </w:rPr>
          <w:t xml:space="preserve">DGUV — Raumluftqualität</w:t>
        </w:r>
      </w:hyperlink>
      <w:r>
        <w:t xml:space="preserve"> </w:t>
      </w:r>
      <w:r>
        <w:t xml:space="preserve">| Evidence | aktuell</w:t>
      </w:r>
    </w:p>
    <w:bookmarkEnd w:id="84"/>
    <w:bookmarkStart w:id="86" w:name="lärm-und-konzentration"/>
    <w:p>
      <w:pPr>
        <w:pStyle w:val="Heading3"/>
      </w:pPr>
      <w:r>
        <w:t xml:space="preserve">Lärm und Konzentration</w:t>
      </w:r>
    </w:p>
    <w:p>
      <w:pPr>
        <w:pStyle w:val="FirstParagraph"/>
      </w:pPr>
      <w:hyperlink r:id="rId85">
        <w:r>
          <w:rPr>
            <w:rStyle w:val="Hyperlink"/>
          </w:rPr>
          <w:t xml:space="preserve">99% der Büroangestellten berichten Konzentrationsbeeinträchtigungen durch Bürolärm. Ein einzelnes nahes Gespräch kann die Produktivität um 66% senken. Nach einer lärmbedingten Unterbrechung brauchen Wissensarbeiter durchschnittlich 23 Minuten und 15 Sekunden, um vollständig zur ursprünglichen Aufgabe zurückzukehren.</w:t>
        </w:r>
      </w:hyperlink>
      <w:r>
        <w:t xml:space="preserve"> </w:t>
      </w:r>
      <w:r>
        <w:t xml:space="preserve">Der optimale Lärmpegel für Fokusarbeit liegt bei 40-55 dB.</w:t>
      </w:r>
    </w:p>
    <w:p>
      <w:pPr>
        <w:pStyle w:val="Compact"/>
        <w:numPr>
          <w:ilvl w:val="0"/>
          <w:numId w:val="1038"/>
        </w:numPr>
      </w:pPr>
      <w:r>
        <w:t xml:space="preserve">Source:</w:t>
      </w:r>
      <w:r>
        <w:t xml:space="preserve"> </w:t>
      </w:r>
      <w:hyperlink r:id="rId85">
        <w:r>
          <w:rPr>
            <w:rStyle w:val="Hyperlink"/>
          </w:rPr>
          <w:t xml:space="preserve">Workplace Noise Statistics</w:t>
        </w:r>
      </w:hyperlink>
      <w:r>
        <w:t xml:space="preserve"> </w:t>
      </w:r>
      <w:r>
        <w:t xml:space="preserve">| Orientation | 2026</w:t>
      </w:r>
    </w:p>
    <w:bookmarkEnd w:id="86"/>
    <w:bookmarkStart w:id="88" w:name="sauna-und-langfristiger-hirnschutz"/>
    <w:p>
      <w:pPr>
        <w:pStyle w:val="Heading3"/>
      </w:pPr>
      <w:r>
        <w:t xml:space="preserve">Sauna und langfristiger Hirnschutz</w:t>
      </w:r>
    </w:p>
    <w:p>
      <w:pPr>
        <w:pStyle w:val="FirstParagraph"/>
      </w:pPr>
      <w:hyperlink r:id="rId87">
        <w:r>
          <w:rPr>
            <w:rStyle w:val="Hyperlink"/>
          </w:rPr>
          <w:t xml:space="preserve">Eine 39-Jahres-Kohortenstudie mit 13.994 finnischen Teilnehmern zeigt: Saunanutzung 9-12 Mal pro Monat senkt das Demenzrisiko um 21% (HR 0,81). In den ersten 20 Jahren war die Risikoreduktion sogar 53%.</w:t>
        </w:r>
      </w:hyperlink>
      <w:r>
        <w:t xml:space="preserve"> </w:t>
      </w:r>
      <w:r>
        <w:t xml:space="preserve">Optimale Bedingungen: 80-99°C, 5-14 Minuten. Temperaturen über 100°C verdoppelten hingegen das Demenzrisiko — ein klarer U-förmiger Zusammenhang.</w:t>
      </w:r>
    </w:p>
    <w:p>
      <w:pPr>
        <w:pStyle w:val="Compact"/>
        <w:numPr>
          <w:ilvl w:val="0"/>
          <w:numId w:val="1039"/>
        </w:numPr>
      </w:pPr>
      <w:r>
        <w:t xml:space="preserve">Source:</w:t>
      </w:r>
      <w:r>
        <w:t xml:space="preserve"> </w:t>
      </w:r>
      <w:hyperlink r:id="rId87">
        <w:r>
          <w:rPr>
            <w:rStyle w:val="Hyperlink"/>
          </w:rPr>
          <w:t xml:space="preserve">Sauna und Demenzrisiko — Finnische Kohorte</w:t>
        </w:r>
      </w:hyperlink>
      <w:r>
        <w:t xml:space="preserve"> </w:t>
      </w:r>
      <w:r>
        <w:t xml:space="preserve">| Evidence | 2020</w:t>
      </w:r>
    </w:p>
    <w:p>
      <w:r>
        <w:pict>
          <v:rect style="width:0;height:1.5pt" o:hralign="center" o:hrstd="t" o:hr="t"/>
        </w:pict>
      </w:r>
    </w:p>
    <w:bookmarkEnd w:id="88"/>
    <w:bookmarkEnd w:id="89"/>
    <w:bookmarkStart w:id="105" w:name="tagesstruktur-und-zeitmanagement"/>
    <w:p>
      <w:pPr>
        <w:pStyle w:val="Heading2"/>
      </w:pPr>
      <w:r>
        <w:t xml:space="preserve">6. Tagesstruktur und Zeitmanagement</w:t>
      </w:r>
    </w:p>
    <w:bookmarkStart w:id="92" w:name="circadiane-leistungsfenster"/>
    <w:p>
      <w:pPr>
        <w:pStyle w:val="Heading3"/>
      </w:pPr>
      <w:r>
        <w:t xml:space="preserve">Circadiane Leistungsfenster</w:t>
      </w:r>
    </w:p>
    <w:p>
      <w:pPr>
        <w:pStyle w:val="FirstParagraph"/>
      </w:pPr>
      <w:r>
        <w:t xml:space="preserve">Die kognitive Leistung schwankt systematisch über den Tag.</w:t>
      </w:r>
      <w:r>
        <w:t xml:space="preserve"> </w:t>
      </w:r>
      <w:hyperlink r:id="rId90">
        <w:r>
          <w:rPr>
            <w:rStyle w:val="Hyperlink"/>
          </w:rPr>
          <w:t xml:space="preserve">Alle Aufmerksamkeitskomponenten zeigen circadiane Variationen: Tiefstwerte zwischen 4-7 Uhr, moderate Werte um die Mittagszeit, Spitzenwerte am Nachmittag/Abend (16-22 Uhr).</w:t>
        </w:r>
      </w:hyperlink>
      <w:r>
        <w:t xml:space="preserve"> </w:t>
      </w:r>
      <w:r>
        <w:t xml:space="preserve">Aber diese Durchschnittswerte verschleiern den individuellen Chronotyp-Effekt:</w:t>
      </w:r>
      <w:r>
        <w:t xml:space="preserve"> </w:t>
      </w:r>
      <w:hyperlink r:id="rId91">
        <w:r>
          <w:rPr>
            <w:rStyle w:val="Hyperlink"/>
          </w:rPr>
          <w:t xml:space="preserve">Die Sprachverarbeitung ist morgens oberflächlicher, während nachmittags tieferes Sinnverständnis stattfindet — optimales Leseverständnis gegen 19 Uhr.</w:t>
        </w:r>
      </w:hyperlink>
    </w:p>
    <w:p>
      <w:pPr>
        <w:pStyle w:val="Compact"/>
        <w:numPr>
          <w:ilvl w:val="0"/>
          <w:numId w:val="1040"/>
        </w:numPr>
      </w:pPr>
      <w:r>
        <w:t xml:space="preserve">Source:</w:t>
      </w:r>
      <w:r>
        <w:t xml:space="preserve"> </w:t>
      </w:r>
      <w:hyperlink r:id="rId90">
        <w:r>
          <w:rPr>
            <w:rStyle w:val="Hyperlink"/>
          </w:rPr>
          <w:t xml:space="preserve">Circadiane Aufmerksamkeitsrhythmen</w:t>
        </w:r>
      </w:hyperlink>
      <w:r>
        <w:t xml:space="preserve"> </w:t>
      </w:r>
      <w:r>
        <w:t xml:space="preserve">| Evidence | 2019</w:t>
      </w:r>
    </w:p>
    <w:p>
      <w:pPr>
        <w:pStyle w:val="Compact"/>
        <w:numPr>
          <w:ilvl w:val="0"/>
          <w:numId w:val="1040"/>
        </w:numPr>
      </w:pPr>
      <w:r>
        <w:t xml:space="preserve">Source:</w:t>
      </w:r>
      <w:r>
        <w:t xml:space="preserve"> </w:t>
      </w:r>
      <w:hyperlink r:id="rId91">
        <w:r>
          <w:rPr>
            <w:rStyle w:val="Hyperlink"/>
          </w:rPr>
          <w:t xml:space="preserve">Kognitive Domänen und Tageszeit</w:t>
        </w:r>
      </w:hyperlink>
      <w:r>
        <w:t xml:space="preserve"> </w:t>
      </w:r>
      <w:r>
        <w:t xml:space="preserve">| Evidence | 2023</w:t>
      </w:r>
    </w:p>
    <w:bookmarkEnd w:id="92"/>
    <w:bookmarkStart w:id="95" w:name="deep-work-und-attention-residue"/>
    <w:p>
      <w:pPr>
        <w:pStyle w:val="Heading3"/>
      </w:pPr>
      <w:r>
        <w:t xml:space="preserve">Deep Work und Attention Residue</w:t>
      </w:r>
    </w:p>
    <w:p>
      <w:pPr>
        <w:pStyle w:val="FirstParagraph"/>
      </w:pPr>
      <w:hyperlink r:id="rId93">
        <w:r>
          <w:rPr>
            <w:rStyle w:val="Hyperlink"/>
          </w:rPr>
          <w:t xml:space="preserve">Sophie Leroy wies experimentell nach, dass nach einem Aufgabenwechsel ein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“Attention Residue”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entsteht: Man hängt gedanklich noch an der vorherigen Aufgabe, was die Leistung bei der neuen Aufgabe mindert — besonders wenn die erste Aufgabe nicht abgeschlossen wurde.</w:t>
        </w:r>
      </w:hyperlink>
      <w:r>
        <w:t xml:space="preserve"> </w:t>
      </w:r>
      <w:r>
        <w:t xml:space="preserve">Dies ist die wissenschaftliche Grundlage für Cal Newports Deep-Work-Konzept: Längere ununterbrochene Arbeitsphasen vermeiden den kumulativen Leistungsverlust durch ständiges Wechseln.</w:t>
      </w:r>
    </w:p>
    <w:p>
      <w:pPr>
        <w:pStyle w:val="Compact"/>
        <w:numPr>
          <w:ilvl w:val="0"/>
          <w:numId w:val="1041"/>
        </w:numPr>
      </w:pPr>
      <w:r>
        <w:t xml:space="preserve">Source:</w:t>
      </w:r>
      <w:r>
        <w:t xml:space="preserve"> </w:t>
      </w:r>
      <w:hyperlink r:id="rId93">
        <w:r>
          <w:rPr>
            <w:rStyle w:val="Hyperlink"/>
          </w:rPr>
          <w:t xml:space="preserve">Leroy — Attention Residue</w:t>
        </w:r>
      </w:hyperlink>
      <w:r>
        <w:t xml:space="preserve"> </w:t>
      </w:r>
      <w:r>
        <w:t xml:space="preserve">| Evidence | 2009</w:t>
      </w:r>
    </w:p>
    <w:p>
      <w:pPr>
        <w:pStyle w:val="BlockText"/>
      </w:pPr>
      <w:r>
        <w:rPr>
          <w:b/>
          <w:bCs/>
        </w:rPr>
        <w:t xml:space="preserve">[Under-sourced]</w:t>
      </w:r>
      <w:r>
        <w:t xml:space="preserve"> </w:t>
      </w:r>
      <w:r>
        <w:t xml:space="preserve">Die oft zitierte</w:t>
      </w:r>
      <w:r>
        <w:t xml:space="preserve"> </w:t>
      </w:r>
      <w:r>
        <w:t xml:space="preserve">“optimale Deep-Work-Blocklänge”</w:t>
      </w:r>
      <w:r>
        <w:t xml:space="preserve"> </w:t>
      </w:r>
      <w:r>
        <w:t xml:space="preserve">von 90 Minuten basiert auf der umstrittenen BRAC-Forschung (Basic Rest-Activity Cycle).</w:t>
      </w:r>
      <w:r>
        <w:t xml:space="preserve"> </w:t>
      </w:r>
      <w:hyperlink r:id="rId94">
        <w:r>
          <w:rPr>
            <w:rStyle w:val="Hyperlink"/>
          </w:rPr>
          <w:t xml:space="preserve">Eine Studie mit 60 Probanden fand bei konservativer Analyse keine signifikante 90-Minuten-Periodizität in kognitiven Leistungsdaten.</w:t>
        </w:r>
      </w:hyperlink>
      <w:r>
        <w:t xml:space="preserve"> </w:t>
      </w:r>
      <w:r>
        <w:t xml:space="preserve">Experimentelle Studien zur optimalen Blocklänge für Wissensarbeit fehlen weitgehend.</w:t>
      </w:r>
    </w:p>
    <w:p>
      <w:pPr>
        <w:pStyle w:val="Compact"/>
        <w:numPr>
          <w:ilvl w:val="0"/>
          <w:numId w:val="1042"/>
        </w:numPr>
      </w:pPr>
      <w:r>
        <w:t xml:space="preserve">Source:</w:t>
      </w:r>
      <w:r>
        <w:t xml:space="preserve"> </w:t>
      </w:r>
      <w:hyperlink r:id="rId94">
        <w:r>
          <w:rPr>
            <w:rStyle w:val="Hyperlink"/>
          </w:rPr>
          <w:t xml:space="preserve">BRAC-Studie — Keine 90-Min.-Periodizität</w:t>
        </w:r>
      </w:hyperlink>
      <w:r>
        <w:t xml:space="preserve"> </w:t>
      </w:r>
      <w:r>
        <w:t xml:space="preserve">| Evidence | 1995</w:t>
      </w:r>
    </w:p>
    <w:bookmarkEnd w:id="95"/>
    <w:bookmarkStart w:id="97" w:name="pausen-häufig-und-aktiv"/>
    <w:p>
      <w:pPr>
        <w:pStyle w:val="Heading3"/>
      </w:pPr>
      <w:r>
        <w:t xml:space="preserve">Pausen: Häufig und aktiv</w:t>
      </w:r>
    </w:p>
    <w:p>
      <w:pPr>
        <w:pStyle w:val="FirstParagraph"/>
      </w:pPr>
      <w:hyperlink r:id="rId96">
        <w:r>
          <w:rPr>
            <w:rStyle w:val="Hyperlink"/>
          </w:rPr>
          <w:t xml:space="preserve">Eine Auswertung von ca. 130 Studien durch die BAuA zeigt: Es gibt kaum Studien, in denen Pausen negative Wirkung haben. Häufigere Pausen korrelieren mit weniger Fehlern.</w:t>
        </w:r>
      </w:hyperlink>
      <w:r>
        <w:t xml:space="preserve"> </w:t>
      </w:r>
      <w:r>
        <w:t xml:space="preserve">Mentale Pausen aktivieren das Default-Mode-Netzwerk, das kreative Problemlösung fördert. Die Grundempfehlung: Das Gegenteil von dem machen, was man bei der Arbeit getan hat — nach Bildschirmarbeit bewegen, nach Stehen sitzen, nach Sozialkontakt Ruhe suchen.</w:t>
      </w:r>
    </w:p>
    <w:p>
      <w:pPr>
        <w:pStyle w:val="Compact"/>
        <w:numPr>
          <w:ilvl w:val="0"/>
          <w:numId w:val="1043"/>
        </w:numPr>
      </w:pPr>
      <w:r>
        <w:t xml:space="preserve">Source:</w:t>
      </w:r>
      <w:r>
        <w:t xml:space="preserve"> </w:t>
      </w:r>
      <w:hyperlink r:id="rId96">
        <w:r>
          <w:rPr>
            <w:rStyle w:val="Hyperlink"/>
          </w:rPr>
          <w:t xml:space="preserve">Spektrum — Pausenforschung</w:t>
        </w:r>
      </w:hyperlink>
      <w:r>
        <w:t xml:space="preserve"> </w:t>
      </w:r>
      <w:r>
        <w:t xml:space="preserve">| Orientation | 2020</w:t>
      </w:r>
    </w:p>
    <w:bookmarkEnd w:id="97"/>
    <w:bookmarkStart w:id="99" w:name="power-naps"/>
    <w:p>
      <w:pPr>
        <w:pStyle w:val="Heading3"/>
      </w:pPr>
      <w:r>
        <w:t xml:space="preserve">Power Naps</w:t>
      </w:r>
    </w:p>
    <w:p>
      <w:pPr>
        <w:pStyle w:val="FirstParagraph"/>
      </w:pPr>
      <w:hyperlink r:id="rId98">
        <w:r>
          <w:rPr>
            <w:rStyle w:val="Hyperlink"/>
          </w:rPr>
          <w:t xml:space="preserve">Eine Meta-Analyse (11 Studien, 381 Teilnehmer) zeigt signifikante kognitive Vorteile: Gesamteffekt ES = 0,18, stärkster Effekt bei Wachsamkeit (ES = 0,29), gefolgt von Exekutivfunktionen (ES = 0,23). Frühe Nachmittagsnickerchen (vor 13 Uhr) waren signifikant wirksamer als spätere.</w:t>
        </w:r>
      </w:hyperlink>
      <w:r>
        <w:t xml:space="preserve"> </w:t>
      </w:r>
      <w:r>
        <w:t xml:space="preserve">Die NASA fand in einer klassischen Studie, dass Piloten nach 26-minütigen Nickerchen 54% höhere Wachsamkeit und 34% bessere Leistung zeigten.</w:t>
      </w:r>
    </w:p>
    <w:p>
      <w:pPr>
        <w:pStyle w:val="Compact"/>
        <w:numPr>
          <w:ilvl w:val="0"/>
          <w:numId w:val="1044"/>
        </w:numPr>
      </w:pPr>
      <w:r>
        <w:t xml:space="preserve">Source:</w:t>
      </w:r>
      <w:r>
        <w:t xml:space="preserve"> </w:t>
      </w:r>
      <w:hyperlink r:id="rId98">
        <w:r>
          <w:rPr>
            <w:rStyle w:val="Hyperlink"/>
          </w:rPr>
          <w:t xml:space="preserve">Power Naps und Kognition — Meta-Analyse</w:t>
        </w:r>
      </w:hyperlink>
      <w:r>
        <w:t xml:space="preserve"> </w:t>
      </w:r>
      <w:r>
        <w:t xml:space="preserve">| Evidence | 2021</w:t>
      </w:r>
    </w:p>
    <w:bookmarkEnd w:id="99"/>
    <w:bookmarkStart w:id="101" w:name="multitasking-der-produktivitätskiller"/>
    <w:p>
      <w:pPr>
        <w:pStyle w:val="Heading3"/>
      </w:pPr>
      <w:r>
        <w:t xml:space="preserve">Multitasking: Der Produktivitätskiller</w:t>
      </w:r>
    </w:p>
    <w:p>
      <w:pPr>
        <w:pStyle w:val="FirstParagraph"/>
      </w:pPr>
      <w:hyperlink r:id="rId15">
        <w:r>
          <w:rPr>
            <w:rStyle w:val="Hyperlink"/>
          </w:rPr>
          <w:t xml:space="preserve">Echtes Multitasking existiert kognitiv nicht — das Gehirn wechselt zwischen Aufgaben (Task Switching), was die Produktivität um bis zu 40% reduzieren kann.</w:t>
        </w:r>
      </w:hyperlink>
      <w:r>
        <w:t xml:space="preserve"> </w:t>
      </w:r>
      <w:r>
        <w:t xml:space="preserve">Die durchschnittliche Aufmerksamkeitsspanne an Bildschirmen ist auf 47 Sekunden gesunken.</w:t>
      </w:r>
      <w:r>
        <w:t xml:space="preserve"> </w:t>
      </w:r>
      <w:hyperlink r:id="rId100">
        <w:r>
          <w:rPr>
            <w:rStyle w:val="Hyperlink"/>
          </w:rPr>
          <w:t xml:space="preserve">Häufige digitale Multitasker weisen signifikant höhere Angst- und Depressionswerte auf, und chronisches Task-Switching führt zu messbaren Veränderungen in frontalen und parietalen Hirnregionen.</w:t>
        </w:r>
      </w:hyperlink>
    </w:p>
    <w:p>
      <w:pPr>
        <w:pStyle w:val="Compact"/>
        <w:numPr>
          <w:ilvl w:val="0"/>
          <w:numId w:val="1045"/>
        </w:numPr>
      </w:pPr>
      <w:r>
        <w:t xml:space="preserve">Source:</w:t>
      </w:r>
      <w:r>
        <w:t xml:space="preserve"> </w:t>
      </w:r>
      <w:hyperlink r:id="rId15">
        <w:r>
          <w:rPr>
            <w:rStyle w:val="Hyperlink"/>
          </w:rPr>
          <w:t xml:space="preserve">Multitasking — Kognitive Kosten</w:t>
        </w:r>
      </w:hyperlink>
      <w:r>
        <w:t xml:space="preserve"> </w:t>
      </w:r>
      <w:r>
        <w:t xml:space="preserve">| Evidence | 2020</w:t>
      </w:r>
    </w:p>
    <w:p>
      <w:pPr>
        <w:pStyle w:val="Compact"/>
        <w:numPr>
          <w:ilvl w:val="0"/>
          <w:numId w:val="1045"/>
        </w:numPr>
      </w:pPr>
      <w:r>
        <w:t xml:space="preserve">Source:</w:t>
      </w:r>
      <w:r>
        <w:t xml:space="preserve"> </w:t>
      </w:r>
      <w:hyperlink r:id="rId100">
        <w:r>
          <w:rPr>
            <w:rStyle w:val="Hyperlink"/>
          </w:rPr>
          <w:t xml:space="preserve">Digitales Multitasking und Hirngesundheit</w:t>
        </w:r>
      </w:hyperlink>
      <w:r>
        <w:t xml:space="preserve"> </w:t>
      </w:r>
      <w:r>
        <w:t xml:space="preserve">| Evidence | 2024</w:t>
      </w:r>
    </w:p>
    <w:bookmarkEnd w:id="101"/>
    <w:bookmarkStart w:id="104" w:name="X69a8927805b1621c3ea80d11ffd3752fbd5c028"/>
    <w:p>
      <w:pPr>
        <w:pStyle w:val="Heading3"/>
      </w:pPr>
      <w:r>
        <w:t xml:space="preserve">Pomodoro-Technik: Populär, aber nicht überlegen</w:t>
      </w:r>
    </w:p>
    <w:p>
      <w:pPr>
        <w:pStyle w:val="FirstParagraph"/>
      </w:pPr>
      <w:r>
        <w:t xml:space="preserve">Die Pomodoro-Technik (25 Minuten Arbeit, 5 Minuten Pause) ist weit verbreitet, aber</w:t>
      </w:r>
      <w:r>
        <w:t xml:space="preserve"> </w:t>
      </w:r>
      <w:hyperlink r:id="rId102">
        <w:r>
          <w:rPr>
            <w:rStyle w:val="Hyperlink"/>
          </w:rPr>
          <w:t xml:space="preserve">eine kontrollierte Studie mit 94 Teilnehmern (2025) zeigt, dass Pomodoro im Vergleich zu selbstregulierten Pausen keinen Produktivitätsvorteil bringt — Pomodoro-Nutzer erlebten sogar schnelleren Motivationsabfall.</w:t>
        </w:r>
      </w:hyperlink>
      <w:r>
        <w:t xml:space="preserve"> </w:t>
      </w:r>
      <w:hyperlink r:id="rId103">
        <w:r>
          <w:rPr>
            <w:rStyle w:val="Hyperlink"/>
          </w:rPr>
          <w:t xml:space="preserve">Ein breiterer Scoping Review (32 Studien, N = 5.270) berichtet zwar positive Assoziationen mit verbessertem Fokus</w:t>
        </w:r>
      </w:hyperlink>
      <w:r>
        <w:t xml:space="preserve">, aber individuelle Unterschiede und Persönlichkeitsmerkmale beeinflussen die Wirksamkeit stärker als die Technik selbst. Die Schlussfolgerung: Jede regelmäßige Pausenstrategie ist besser als keine, aber Pomodoro ist nicht die überlegene Methode.</w:t>
      </w:r>
    </w:p>
    <w:p>
      <w:pPr>
        <w:pStyle w:val="Compact"/>
        <w:numPr>
          <w:ilvl w:val="0"/>
          <w:numId w:val="1046"/>
        </w:numPr>
      </w:pPr>
      <w:r>
        <w:t xml:space="preserve">Source:</w:t>
      </w:r>
      <w:r>
        <w:t xml:space="preserve"> </w:t>
      </w:r>
      <w:hyperlink r:id="rId102">
        <w:r>
          <w:rPr>
            <w:rStyle w:val="Hyperlink"/>
          </w:rPr>
          <w:t xml:space="preserve">Pomodoro vs. selbstregulierte Pausen</w:t>
        </w:r>
      </w:hyperlink>
      <w:r>
        <w:t xml:space="preserve"> </w:t>
      </w:r>
      <w:r>
        <w:t xml:space="preserve">| Evidence | 2025</w:t>
      </w:r>
    </w:p>
    <w:p>
      <w:pPr>
        <w:pStyle w:val="Compact"/>
        <w:numPr>
          <w:ilvl w:val="0"/>
          <w:numId w:val="1046"/>
        </w:numPr>
      </w:pPr>
      <w:r>
        <w:t xml:space="preserve">Source:</w:t>
      </w:r>
      <w:r>
        <w:t xml:space="preserve"> </w:t>
      </w:r>
      <w:hyperlink r:id="rId103">
        <w:r>
          <w:rPr>
            <w:rStyle w:val="Hyperlink"/>
          </w:rPr>
          <w:t xml:space="preserve">Pomodoro — Scoping Review</w:t>
        </w:r>
      </w:hyperlink>
      <w:r>
        <w:t xml:space="preserve"> </w:t>
      </w:r>
      <w:r>
        <w:t xml:space="preserve">| Evidence | 2025</w:t>
      </w:r>
    </w:p>
    <w:p>
      <w:r>
        <w:pict>
          <v:rect style="width:0;height:1.5pt" o:hralign="center" o:hrstd="t" o:hr="t"/>
        </w:pict>
      </w:r>
    </w:p>
    <w:bookmarkEnd w:id="104"/>
    <w:bookmarkEnd w:id="105"/>
    <w:bookmarkStart w:id="106" w:name="limitationen-und-offene-fragen"/>
    <w:p>
      <w:pPr>
        <w:pStyle w:val="Heading2"/>
      </w:pPr>
      <w:r>
        <w:t xml:space="preserve">Limitationen und offene Fragen</w:t>
      </w:r>
    </w:p>
    <w:p>
      <w:pPr>
        <w:pStyle w:val="FirstParagraph"/>
      </w:pPr>
      <w:r>
        <w:t xml:space="preserve">Dieser Bericht ist nicht erschöpfend. Die wichtigsten Einschränkungen:</w:t>
      </w:r>
    </w:p>
    <w:p>
      <w:pPr>
        <w:pStyle w:val="BodyText"/>
      </w:pPr>
      <w:r>
        <w:rPr>
          <w:b/>
          <w:bCs/>
        </w:rPr>
        <w:t xml:space="preserve">Zielgruppen-Lücke:</w:t>
      </w:r>
      <w:r>
        <w:t xml:space="preserve"> </w:t>
      </w:r>
      <w:r>
        <w:t xml:space="preserve">Die meisten zitierten Studien untersuchen ältere Erwachsene, Studenten oder klinische Populationen. Spezifische Daten für gesunde Wissensarbeiter im Alter von 25-50 — die Hauptzielgruppe dieses Berichts — sind dünner als es auf den ersten Blick erscheint.</w:t>
      </w:r>
    </w:p>
    <w:p>
      <w:pPr>
        <w:pStyle w:val="BodyText"/>
      </w:pPr>
      <w:r>
        <w:rPr>
          <w:b/>
          <w:bCs/>
        </w:rPr>
        <w:t xml:space="preserve">Interaktionseffekte:</w:t>
      </w:r>
      <w:r>
        <w:t xml:space="preserve"> </w:t>
      </w:r>
      <w:r>
        <w:t xml:space="preserve">Die Wechselwirkungen zwischen den sechs Faktoren (z.B. wie Koffein + Bewegung zusammenwirken, oder ob Schlafqualität den Lichteffekt moderiert) sind kaum systematisch untersucht. Die reale Welt ist keine kontrollierte Laborstudie mit isolierten Variablen.</w:t>
      </w:r>
    </w:p>
    <w:p>
      <w:pPr>
        <w:pStyle w:val="BodyText"/>
      </w:pPr>
      <w:r>
        <w:rPr>
          <w:b/>
          <w:bCs/>
        </w:rPr>
        <w:t xml:space="preserve">Langzeitstudien:</w:t>
      </w:r>
      <w:r>
        <w:t xml:space="preserve"> </w:t>
      </w:r>
      <w:r>
        <w:t xml:space="preserve">Für viele Interventionen (Kreatin, ketogene Ernährung, Kälteexposition) fehlen große randomisierte Langzeit-RCTs bei kognitiv gesunden Erwachsenen.</w:t>
      </w:r>
    </w:p>
    <w:p>
      <w:pPr>
        <w:pStyle w:val="BodyText"/>
      </w:pPr>
      <w:r>
        <w:rPr>
          <w:b/>
          <w:bCs/>
        </w:rPr>
        <w:t xml:space="preserve">Individualisierung:</w:t>
      </w:r>
      <w:r>
        <w:t xml:space="preserve"> </w:t>
      </w:r>
      <w:r>
        <w:t xml:space="preserve">Der Chronotyp-Synchronie-Effekt, Geschlechterunterschiede bei Temperatur und genetische Varianz bei BDNF-Antworten zeigen, dass universelle Empfehlungen immer eine Vereinfachung sind. Die optimale Strategie ist individuell.</w:t>
      </w:r>
    </w:p>
    <w:p>
      <w:pPr>
        <w:pStyle w:val="BodyText"/>
      </w:pPr>
      <w:r>
        <w:rPr>
          <w:b/>
          <w:bCs/>
        </w:rPr>
        <w:t xml:space="preserve">Publikationsbias:</w:t>
      </w:r>
      <w:r>
        <w:t xml:space="preserve"> </w:t>
      </w:r>
      <w:r>
        <w:t xml:space="preserve">Positive Ergebnisse werden häufiger publiziert. Die tatsächliche Effektstärke einiger Interventionen könnte niedriger sein als in den zitierten Meta-Analysen berichtet.</w:t>
      </w:r>
    </w:p>
    <w:p>
      <w:r>
        <w:pict>
          <v:rect style="width:0;height:1.5pt" o:hralign="center" o:hrstd="t" o:hr="t"/>
        </w:pict>
      </w:r>
    </w:p>
    <w:bookmarkEnd w:id="106"/>
    <w:bookmarkStart w:id="108" w:name="quellenverzeichnis"/>
    <w:p>
      <w:pPr>
        <w:pStyle w:val="Heading2"/>
      </w:pPr>
      <w:r>
        <w:t xml:space="preserve">Quellenverzeichnis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033"/>
        <w:gridCol w:w="2754"/>
        <w:gridCol w:w="1721"/>
        <w:gridCol w:w="241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Quelle</w:t>
            </w:r>
          </w:p>
        </w:tc>
        <w:tc>
          <w:tcPr/>
          <w:p>
            <w:pPr>
              <w:pStyle w:val="Compact"/>
            </w:pPr>
            <w:r>
              <w:t xml:space="preserve">Typ</w:t>
            </w:r>
          </w:p>
        </w:tc>
        <w:tc>
          <w:tcPr/>
          <w:p>
            <w:pPr>
              <w:pStyle w:val="Compact"/>
            </w:pPr>
            <w:r>
              <w:t xml:space="preserve">Datum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hyperlink r:id="rId17">
              <w:r>
                <w:rPr>
                  <w:rStyle w:val="Hyperlink"/>
                </w:rPr>
                <w:t xml:space="preserve">SWS und Gedächtniskonsolidierung — Frontiers in Behavioral Neuroscience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2025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hyperlink r:id="rId19">
              <w:r>
                <w:rPr>
                  <w:rStyle w:val="Hyperlink"/>
                </w:rPr>
                <w:t xml:space="preserve">Schlafdauer und Kognition — Meta-Analyse, Sleep Medicine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2016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hyperlink r:id="rId9">
              <w:r>
                <w:rPr>
                  <w:rStyle w:val="Hyperlink"/>
                </w:rPr>
                <w:t xml:space="preserve">Van Dongen et al. — Kumulative Kosten der Wachheit, Sleep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2003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hyperlink r:id="rId21">
              <w:r>
                <w:rPr>
                  <w:rStyle w:val="Hyperlink"/>
                </w:rPr>
                <w:t xml:space="preserve">IfADo — Schlafentzug und kognitive Leistung, eLife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2022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hyperlink r:id="rId22">
              <w:r>
                <w:rPr>
                  <w:rStyle w:val="Hyperlink"/>
                </w:rPr>
                <w:t xml:space="preserve">Ren et al. — Akuter vs. chronischer Schlafentzug, Frontiers in Neuroscience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2025</w:t>
            </w: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hyperlink r:id="rId24">
              <w:r>
                <w:rPr>
                  <w:rStyle w:val="Hyperlink"/>
                </w:rPr>
                <w:t xml:space="preserve">Chauhan et al. — Chronotyp und Synchronie, Chronobiology International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2025</w:t>
            </w: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hyperlink r:id="rId25">
              <w:r>
                <w:rPr>
                  <w:rStyle w:val="Hyperlink"/>
                </w:rPr>
                <w:t xml:space="preserve">Liu et al. — Chronotyp und neuronale Dynamik, Frontiers in Neuroscience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2025</w:t>
            </w: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  <w:hyperlink r:id="rId27">
              <w:r>
                <w:rPr>
                  <w:rStyle w:val="Hyperlink"/>
                </w:rPr>
                <w:t xml:space="preserve">Kalkanis et al. — Schlafregularität, Sleep Medicine Reviews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2025</w:t>
            </w:r>
          </w:p>
        </w:tc>
      </w:tr>
      <w:tr>
        <w:tc>
          <w:tcPr/>
          <w:p>
            <w:pPr>
              <w:pStyle w:val="Compact"/>
            </w:pPr>
            <w:r>
              <w:t xml:space="preserve">9</w:t>
            </w:r>
          </w:p>
        </w:tc>
        <w:tc>
          <w:tcPr/>
          <w:p>
            <w:pPr>
              <w:pStyle w:val="Compact"/>
            </w:pPr>
            <w:hyperlink r:id="rId29">
              <w:r>
                <w:rPr>
                  <w:rStyle w:val="Hyperlink"/>
                </w:rPr>
                <w:t xml:space="preserve">Nicht-pharmakologische Schlafhygiene — NMA, PLOS ONE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2024</w:t>
            </w:r>
          </w:p>
        </w:tc>
      </w:tr>
      <w:tr>
        <w:tc>
          <w:tcPr/>
          <w:p>
            <w:pPr>
              <w:pStyle w:val="Compact"/>
            </w:pPr>
            <w:r>
              <w:t xml:space="preserve">10</w:t>
            </w:r>
          </w:p>
        </w:tc>
        <w:tc>
          <w:tcPr/>
          <w:p>
            <w:pPr>
              <w:pStyle w:val="Compact"/>
            </w:pPr>
            <w:hyperlink r:id="rId10">
              <w:r>
                <w:rPr>
                  <w:rStyle w:val="Hyperlink"/>
                </w:rPr>
                <w:t xml:space="preserve">Meta-Review: Akute Bewegung und Kognition, PubMed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2025</w:t>
            </w:r>
          </w:p>
        </w:tc>
      </w:tr>
      <w:tr>
        <w:tc>
          <w:tcPr/>
          <w:p>
            <w:pPr>
              <w:pStyle w:val="Compact"/>
            </w:pPr>
            <w:r>
              <w:t xml:space="preserve">11</w:t>
            </w:r>
          </w:p>
        </w:tc>
        <w:tc>
          <w:tcPr/>
          <w:p>
            <w:pPr>
              <w:pStyle w:val="Compact"/>
            </w:pPr>
            <w:hyperlink r:id="rId32">
              <w:r>
                <w:rPr>
                  <w:rStyle w:val="Hyperlink"/>
                </w:rPr>
                <w:t xml:space="preserve">Northeastern University — 10 Minuten Training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Orientation</w:t>
            </w:r>
          </w:p>
        </w:tc>
        <w:tc>
          <w:tcPr/>
          <w:p>
            <w:pPr>
              <w:pStyle w:val="Compact"/>
            </w:pPr>
            <w:r>
              <w:t xml:space="preserve">2025</w:t>
            </w:r>
          </w:p>
        </w:tc>
      </w:tr>
      <w:tr>
        <w:tc>
          <w:tcPr/>
          <w:p>
            <w:pPr>
              <w:pStyle w:val="Compact"/>
            </w:pPr>
            <w:r>
              <w:t xml:space="preserve">12</w:t>
            </w:r>
          </w:p>
        </w:tc>
        <w:tc>
          <w:tcPr/>
          <w:p>
            <w:pPr>
              <w:pStyle w:val="Compact"/>
            </w:pPr>
            <w:hyperlink r:id="rId11">
              <w:r>
                <w:rPr>
                  <w:rStyle w:val="Hyperlink"/>
                </w:rPr>
                <w:t xml:space="preserve">UCL — Kognitiver Boost hält 24 Stunden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2024</w:t>
            </w:r>
          </w:p>
        </w:tc>
      </w:tr>
      <w:tr>
        <w:tc>
          <w:tcPr/>
          <w:p>
            <w:pPr>
              <w:pStyle w:val="Compact"/>
            </w:pPr>
            <w:r>
              <w:t xml:space="preserve">13</w:t>
            </w:r>
          </w:p>
        </w:tc>
        <w:tc>
          <w:tcPr/>
          <w:p>
            <w:pPr>
              <w:pStyle w:val="Compact"/>
            </w:pPr>
            <w:hyperlink r:id="rId34">
              <w:r>
                <w:rPr>
                  <w:rStyle w:val="Hyperlink"/>
                </w:rPr>
                <w:t xml:space="preserve">Netzwerk-Meta-Analyse: Trainingstypen und Kognition, Frontiers in Aging Neuroscience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2025</w:t>
            </w:r>
          </w:p>
        </w:tc>
      </w:tr>
      <w:tr>
        <w:tc>
          <w:tcPr/>
          <w:p>
            <w:pPr>
              <w:pStyle w:val="Compact"/>
            </w:pPr>
            <w:r>
              <w:t xml:space="preserve">14</w:t>
            </w:r>
          </w:p>
        </w:tc>
        <w:tc>
          <w:tcPr/>
          <w:p>
            <w:pPr>
              <w:pStyle w:val="Compact"/>
            </w:pPr>
            <w:hyperlink r:id="rId35">
              <w:r>
                <w:rPr>
                  <w:rStyle w:val="Hyperlink"/>
                </w:rPr>
                <w:t xml:space="preserve">Exercise and Brain Health — Expert Review, PMC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2025</w:t>
            </w:r>
          </w:p>
        </w:tc>
      </w:tr>
      <w:tr>
        <w:tc>
          <w:tcPr/>
          <w:p>
            <w:pPr>
              <w:pStyle w:val="Compact"/>
            </w:pPr>
            <w:r>
              <w:t xml:space="preserve">15</w:t>
            </w:r>
          </w:p>
        </w:tc>
        <w:tc>
          <w:tcPr/>
          <w:p>
            <w:pPr>
              <w:pStyle w:val="Compact"/>
            </w:pPr>
            <w:hyperlink r:id="rId37">
              <w:r>
                <w:rPr>
                  <w:rStyle w:val="Hyperlink"/>
                </w:rPr>
                <w:t xml:space="preserve">BDNF-Regulation durch Bewegung, PMC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2025</w:t>
            </w:r>
          </w:p>
        </w:tc>
      </w:tr>
      <w:tr>
        <w:tc>
          <w:tcPr/>
          <w:p>
            <w:pPr>
              <w:pStyle w:val="Compact"/>
            </w:pPr>
            <w:r>
              <w:t xml:space="preserve">16</w:t>
            </w:r>
          </w:p>
        </w:tc>
        <w:tc>
          <w:tcPr/>
          <w:p>
            <w:pPr>
              <w:pStyle w:val="Compact"/>
            </w:pPr>
            <w:hyperlink r:id="rId39">
              <w:r>
                <w:rPr>
                  <w:rStyle w:val="Hyperlink"/>
                </w:rPr>
                <w:t xml:space="preserve">Optimale Dosis bei MCI, Frontiers in Psychiatry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2024</w:t>
            </w:r>
          </w:p>
        </w:tc>
      </w:tr>
      <w:tr>
        <w:tc>
          <w:tcPr/>
          <w:p>
            <w:pPr>
              <w:pStyle w:val="Compact"/>
            </w:pPr>
            <w:r>
              <w:t xml:space="preserve">17</w:t>
            </w:r>
          </w:p>
        </w:tc>
        <w:tc>
          <w:tcPr/>
          <w:p>
            <w:pPr>
              <w:pStyle w:val="Compact"/>
            </w:pPr>
            <w:hyperlink r:id="rId40">
              <w:r>
                <w:rPr>
                  <w:rStyle w:val="Hyperlink"/>
                </w:rPr>
                <w:t xml:space="preserve">Optimale Dosis und Typ — Bayesian NMA, Springer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2026</w:t>
            </w:r>
          </w:p>
        </w:tc>
      </w:tr>
      <w:tr>
        <w:tc>
          <w:tcPr/>
          <w:p>
            <w:pPr>
              <w:pStyle w:val="Compact"/>
            </w:pPr>
            <w:r>
              <w:t xml:space="preserve">18</w:t>
            </w:r>
          </w:p>
        </w:tc>
        <w:tc>
          <w:tcPr/>
          <w:p>
            <w:pPr>
              <w:pStyle w:val="Compact"/>
            </w:pPr>
            <w:hyperlink r:id="rId42">
              <w:r>
                <w:rPr>
                  <w:rStyle w:val="Hyperlink"/>
                </w:rPr>
                <w:t xml:space="preserve">Oppezzo &amp; Schwartz — Gehen und Kreativität, JESP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2014</w:t>
            </w:r>
          </w:p>
        </w:tc>
      </w:tr>
      <w:tr>
        <w:tc>
          <w:tcPr/>
          <w:p>
            <w:pPr>
              <w:pStyle w:val="Compact"/>
            </w:pPr>
            <w:r>
              <w:t xml:space="preserve">19</w:t>
            </w:r>
          </w:p>
        </w:tc>
        <w:tc>
          <w:tcPr/>
          <w:p>
            <w:pPr>
              <w:pStyle w:val="Compact"/>
            </w:pPr>
            <w:hyperlink r:id="rId45">
              <w:r>
                <w:rPr>
                  <w:rStyle w:val="Hyperlink"/>
                </w:rPr>
                <w:t xml:space="preserve">Omega-3 und Kognition — Dosis-Wirkungs-Meta-Analyse, PMC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2025</w:t>
            </w:r>
          </w:p>
        </w:tc>
      </w:tr>
      <w:tr>
        <w:tc>
          <w:tcPr/>
          <w:p>
            <w:pPr>
              <w:pStyle w:val="Compact"/>
            </w:pPr>
            <w:r>
              <w:t xml:space="preserve">20</w:t>
            </w:r>
          </w:p>
        </w:tc>
        <w:tc>
          <w:tcPr/>
          <w:p>
            <w:pPr>
              <w:pStyle w:val="Compact"/>
            </w:pPr>
            <w:hyperlink r:id="rId47">
              <w:r>
                <w:rPr>
                  <w:rStyle w:val="Hyperlink"/>
                </w:rPr>
                <w:t xml:space="preserve">Mediterrane Ernährung und kognitive Gesundheit, GeroScience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2025</w:t>
            </w:r>
          </w:p>
        </w:tc>
      </w:tr>
      <w:tr>
        <w:tc>
          <w:tcPr/>
          <w:p>
            <w:pPr>
              <w:pStyle w:val="Compact"/>
            </w:pPr>
            <w:r>
              <w:t xml:space="preserve">21</w:t>
            </w:r>
          </w:p>
        </w:tc>
        <w:tc>
          <w:tcPr/>
          <w:p>
            <w:pPr>
              <w:pStyle w:val="Compact"/>
            </w:pPr>
            <w:hyperlink r:id="rId14">
              <w:r>
                <w:rPr>
                  <w:rStyle w:val="Hyperlink"/>
                </w:rPr>
                <w:t xml:space="preserve">Koffein und Aufmerksamkeit — Meta-Analyse, PubMed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2025</w:t>
            </w:r>
          </w:p>
        </w:tc>
      </w:tr>
      <w:tr>
        <w:tc>
          <w:tcPr/>
          <w:p>
            <w:pPr>
              <w:pStyle w:val="Compact"/>
            </w:pPr>
            <w:r>
              <w:t xml:space="preserve">22</w:t>
            </w:r>
          </w:p>
        </w:tc>
        <w:tc>
          <w:tcPr/>
          <w:p>
            <w:pPr>
              <w:pStyle w:val="Compact"/>
            </w:pPr>
            <w:hyperlink r:id="rId50">
              <w:r>
                <w:rPr>
                  <w:rStyle w:val="Hyperlink"/>
                </w:rPr>
                <w:t xml:space="preserve">Dehydration und Kognition — Meta-Analyse, MSSE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2018</w:t>
            </w:r>
          </w:p>
        </w:tc>
      </w:tr>
      <w:tr>
        <w:tc>
          <w:tcPr/>
          <w:p>
            <w:pPr>
              <w:pStyle w:val="Compact"/>
            </w:pPr>
            <w:r>
              <w:t xml:space="preserve">23</w:t>
            </w:r>
          </w:p>
        </w:tc>
        <w:tc>
          <w:tcPr/>
          <w:p>
            <w:pPr>
              <w:pStyle w:val="Compact"/>
            </w:pPr>
            <w:hyperlink r:id="rId52">
              <w:r>
                <w:rPr>
                  <w:rStyle w:val="Hyperlink"/>
                </w:rPr>
                <w:t xml:space="preserve">APA — Fasten und Kognition, Psychological Bulletin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2025</w:t>
            </w:r>
          </w:p>
        </w:tc>
      </w:tr>
      <w:tr>
        <w:tc>
          <w:tcPr/>
          <w:p>
            <w:pPr>
              <w:pStyle w:val="Compact"/>
            </w:pPr>
            <w:r>
              <w:t xml:space="preserve">24</w:t>
            </w:r>
          </w:p>
        </w:tc>
        <w:tc>
          <w:tcPr/>
          <w:p>
            <w:pPr>
              <w:pStyle w:val="Compact"/>
            </w:pPr>
            <w:hyperlink r:id="rId54">
              <w:r>
                <w:rPr>
                  <w:rStyle w:val="Hyperlink"/>
                </w:rPr>
                <w:t xml:space="preserve">Kreatin und Kognition — Meta-Analyse, Frontiers in Nutrition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2024</w:t>
            </w:r>
          </w:p>
        </w:tc>
      </w:tr>
      <w:tr>
        <w:tc>
          <w:tcPr/>
          <w:p>
            <w:pPr>
              <w:pStyle w:val="Compact"/>
            </w:pPr>
            <w:r>
              <w:t xml:space="preserve">25</w:t>
            </w:r>
          </w:p>
        </w:tc>
        <w:tc>
          <w:tcPr/>
          <w:p>
            <w:pPr>
              <w:pStyle w:val="Compact"/>
            </w:pPr>
            <w:hyperlink r:id="rId55">
              <w:r>
                <w:rPr>
                  <w:rStyle w:val="Hyperlink"/>
                </w:rPr>
                <w:t xml:space="preserve">FZ Jülich — Kreatin bei Schlafmangel, Scientific Reports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2024</w:t>
            </w:r>
          </w:p>
        </w:tc>
      </w:tr>
      <w:tr>
        <w:tc>
          <w:tcPr/>
          <w:p>
            <w:pPr>
              <w:pStyle w:val="Compact"/>
            </w:pPr>
            <w:r>
              <w:t xml:space="preserve">26</w:t>
            </w:r>
          </w:p>
        </w:tc>
        <w:tc>
          <w:tcPr/>
          <w:p>
            <w:pPr>
              <w:pStyle w:val="Compact"/>
            </w:pPr>
            <w:hyperlink r:id="rId57">
              <w:r>
                <w:rPr>
                  <w:rStyle w:val="Hyperlink"/>
                </w:rPr>
                <w:t xml:space="preserve">Nootropika-Review, Biology/MDPI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Orientation</w:t>
            </w:r>
          </w:p>
        </w:tc>
        <w:tc>
          <w:tcPr/>
          <w:p>
            <w:pPr>
              <w:pStyle w:val="Compact"/>
            </w:pPr>
            <w:r>
              <w:t xml:space="preserve">2025</w:t>
            </w:r>
          </w:p>
        </w:tc>
      </w:tr>
      <w:tr>
        <w:tc>
          <w:tcPr/>
          <w:p>
            <w:pPr>
              <w:pStyle w:val="Compact"/>
            </w:pPr>
            <w:r>
              <w:t xml:space="preserve">27</w:t>
            </w:r>
          </w:p>
        </w:tc>
        <w:tc>
          <w:tcPr/>
          <w:p>
            <w:pPr>
              <w:pStyle w:val="Compact"/>
            </w:pPr>
            <w:hyperlink r:id="rId60">
              <w:r>
                <w:rPr>
                  <w:rStyle w:val="Hyperlink"/>
                </w:rPr>
                <w:t xml:space="preserve">Internationaler Konsens — Lichtempfehlungen, PLOS Biology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2022</w:t>
            </w:r>
          </w:p>
        </w:tc>
      </w:tr>
      <w:tr>
        <w:tc>
          <w:tcPr/>
          <w:p>
            <w:pPr>
              <w:pStyle w:val="Compact"/>
            </w:pPr>
            <w:r>
              <w:t xml:space="preserve">28</w:t>
            </w:r>
          </w:p>
        </w:tc>
        <w:tc>
          <w:tcPr/>
          <w:p>
            <w:pPr>
              <w:pStyle w:val="Compact"/>
            </w:pPr>
            <w:hyperlink r:id="rId62">
              <w:r>
                <w:rPr>
                  <w:rStyle w:val="Hyperlink"/>
                </w:rPr>
                <w:t xml:space="preserve">Licht und Wachheit — Meta-Analyse, PMC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2022</w:t>
            </w:r>
          </w:p>
        </w:tc>
      </w:tr>
      <w:tr>
        <w:tc>
          <w:tcPr/>
          <w:p>
            <w:pPr>
              <w:pStyle w:val="Compact"/>
            </w:pPr>
            <w:r>
              <w:t xml:space="preserve">29</w:t>
            </w:r>
          </w:p>
        </w:tc>
        <w:tc>
          <w:tcPr/>
          <w:p>
            <w:pPr>
              <w:pStyle w:val="Compact"/>
            </w:pPr>
            <w:hyperlink r:id="rId63">
              <w:r>
                <w:rPr>
                  <w:rStyle w:val="Hyperlink"/>
                </w:rPr>
                <w:t xml:space="preserve">Licht und höhere Kognition, Frontiers in Psychology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2021</w:t>
            </w:r>
          </w:p>
        </w:tc>
      </w:tr>
      <w:tr>
        <w:tc>
          <w:tcPr/>
          <w:p>
            <w:pPr>
              <w:pStyle w:val="Compact"/>
            </w:pPr>
            <w:r>
              <w:t xml:space="preserve">30</w:t>
            </w:r>
          </w:p>
        </w:tc>
        <w:tc>
          <w:tcPr/>
          <w:p>
            <w:pPr>
              <w:pStyle w:val="Compact"/>
            </w:pPr>
            <w:hyperlink r:id="rId65">
              <w:r>
                <w:rPr>
                  <w:rStyle w:val="Hyperlink"/>
                </w:rPr>
                <w:t xml:space="preserve">Morgenlicht und Schlafregulation, PMC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2025</w:t>
            </w:r>
          </w:p>
        </w:tc>
      </w:tr>
      <w:tr>
        <w:tc>
          <w:tcPr/>
          <w:p>
            <w:pPr>
              <w:pStyle w:val="Compact"/>
            </w:pPr>
            <w:r>
              <w:t xml:space="preserve">31</w:t>
            </w:r>
          </w:p>
        </w:tc>
        <w:tc>
          <w:tcPr/>
          <w:p>
            <w:pPr>
              <w:pStyle w:val="Compact"/>
            </w:pPr>
            <w:hyperlink r:id="rId67">
              <w:r>
                <w:rPr>
                  <w:rStyle w:val="Hyperlink"/>
                </w:rPr>
                <w:t xml:space="preserve">Saisonale Kognition — Rotterdam-Studie, PMC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2022</w:t>
            </w:r>
          </w:p>
        </w:tc>
      </w:tr>
      <w:tr>
        <w:tc>
          <w:tcPr/>
          <w:p>
            <w:pPr>
              <w:pStyle w:val="Compact"/>
            </w:pPr>
            <w:r>
              <w:t xml:space="preserve">32</w:t>
            </w:r>
          </w:p>
        </w:tc>
        <w:tc>
          <w:tcPr/>
          <w:p>
            <w:pPr>
              <w:pStyle w:val="Compact"/>
            </w:pPr>
            <w:hyperlink r:id="rId68">
              <w:r>
                <w:rPr>
                  <w:rStyle w:val="Hyperlink"/>
                </w:rPr>
                <w:t xml:space="preserve">Helle Lichttherapie — Review, PMC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2019</w:t>
            </w:r>
          </w:p>
        </w:tc>
      </w:tr>
      <w:tr>
        <w:tc>
          <w:tcPr/>
          <w:p>
            <w:pPr>
              <w:pStyle w:val="Compact"/>
            </w:pPr>
            <w:r>
              <w:t xml:space="preserve">33</w:t>
            </w:r>
          </w:p>
        </w:tc>
        <w:tc>
          <w:tcPr/>
          <w:p>
            <w:pPr>
              <w:pStyle w:val="Compact"/>
            </w:pPr>
            <w:hyperlink r:id="rId70">
              <w:r>
                <w:rPr>
                  <w:rStyle w:val="Hyperlink"/>
                </w:rPr>
                <w:t xml:space="preserve">Blaulichtfilter-Brillen — Cochrane Review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2023</w:t>
            </w:r>
          </w:p>
        </w:tc>
      </w:tr>
      <w:tr>
        <w:tc>
          <w:tcPr/>
          <w:p>
            <w:pPr>
              <w:pStyle w:val="Compact"/>
            </w:pPr>
            <w:r>
              <w:t xml:space="preserve">34</w:t>
            </w:r>
          </w:p>
        </w:tc>
        <w:tc>
          <w:tcPr/>
          <w:p>
            <w:pPr>
              <w:pStyle w:val="Compact"/>
            </w:pPr>
            <w:hyperlink r:id="rId71">
              <w:r>
                <w:rPr>
                  <w:rStyle w:val="Hyperlink"/>
                </w:rPr>
                <w:t xml:space="preserve">Blaulichtfilter und Schlaf — Meta-Analyse, Frontiers in Neurology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2025</w:t>
            </w:r>
          </w:p>
        </w:tc>
      </w:tr>
      <w:tr>
        <w:tc>
          <w:tcPr/>
          <w:p>
            <w:pPr>
              <w:pStyle w:val="Compact"/>
            </w:pPr>
            <w:r>
              <w:t xml:space="preserve">35</w:t>
            </w:r>
          </w:p>
        </w:tc>
        <w:tc>
          <w:tcPr/>
          <w:p>
            <w:pPr>
              <w:pStyle w:val="Compact"/>
            </w:pPr>
            <w:hyperlink r:id="rId13">
              <w:r>
                <w:rPr>
                  <w:rStyle w:val="Hyperlink"/>
                </w:rPr>
                <w:t xml:space="preserve">BAuA — Berufliche Lichtexposition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2023</w:t>
            </w:r>
          </w:p>
        </w:tc>
      </w:tr>
      <w:tr>
        <w:tc>
          <w:tcPr/>
          <w:p>
            <w:pPr>
              <w:pStyle w:val="Compact"/>
            </w:pPr>
            <w:r>
              <w:t xml:space="preserve">36</w:t>
            </w:r>
          </w:p>
        </w:tc>
        <w:tc>
          <w:tcPr/>
          <w:p>
            <w:pPr>
              <w:pStyle w:val="Compact"/>
            </w:pPr>
            <w:hyperlink r:id="rId76">
              <w:r>
                <w:rPr>
                  <w:rStyle w:val="Hyperlink"/>
                </w:rPr>
                <w:t xml:space="preserve">Temperatur und kognitive Leistung, Neuroscience News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2024</w:t>
            </w:r>
          </w:p>
        </w:tc>
      </w:tr>
      <w:tr>
        <w:tc>
          <w:tcPr/>
          <w:p>
            <w:pPr>
              <w:pStyle w:val="Compact"/>
            </w:pPr>
            <w:r>
              <w:t xml:space="preserve">37</w:t>
            </w:r>
          </w:p>
        </w:tc>
        <w:tc>
          <w:tcPr/>
          <w:p>
            <w:pPr>
              <w:pStyle w:val="Compact"/>
            </w:pPr>
            <w:hyperlink r:id="rId77">
              <w:r>
                <w:rPr>
                  <w:rStyle w:val="Hyperlink"/>
                </w:rPr>
                <w:t xml:space="preserve">WZB — Geschlechterunterschiede bei Raumtemperatur, PLOS ONE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2019</w:t>
            </w:r>
          </w:p>
        </w:tc>
      </w:tr>
      <w:tr>
        <w:tc>
          <w:tcPr/>
          <w:p>
            <w:pPr>
              <w:pStyle w:val="Compact"/>
            </w:pPr>
            <w:r>
              <w:t xml:space="preserve">38</w:t>
            </w:r>
          </w:p>
        </w:tc>
        <w:tc>
          <w:tcPr/>
          <w:p>
            <w:pPr>
              <w:pStyle w:val="Compact"/>
            </w:pPr>
            <w:hyperlink r:id="rId79">
              <w:r>
                <w:rPr>
                  <w:rStyle w:val="Hyperlink"/>
                </w:rPr>
                <w:t xml:space="preserve">Kälteexposition und Neurotransmitter, EJAP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2000</w:t>
            </w:r>
          </w:p>
        </w:tc>
      </w:tr>
      <w:tr>
        <w:tc>
          <w:tcPr/>
          <w:p>
            <w:pPr>
              <w:pStyle w:val="Compact"/>
            </w:pPr>
            <w:r>
              <w:t xml:space="preserve">39</w:t>
            </w:r>
          </w:p>
        </w:tc>
        <w:tc>
          <w:tcPr/>
          <w:p>
            <w:pPr>
              <w:pStyle w:val="Compact"/>
            </w:pPr>
            <w:hyperlink r:id="rId81">
              <w:r>
                <w:rPr>
                  <w:rStyle w:val="Hyperlink"/>
                </w:rPr>
                <w:t xml:space="preserve">Kälte und Kognition — Systematisches Review, PMC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2021</w:t>
            </w:r>
          </w:p>
        </w:tc>
      </w:tr>
      <w:tr>
        <w:tc>
          <w:tcPr/>
          <w:p>
            <w:pPr>
              <w:pStyle w:val="Compact"/>
            </w:pPr>
            <w:r>
              <w:t xml:space="preserve">40</w:t>
            </w:r>
          </w:p>
        </w:tc>
        <w:tc>
          <w:tcPr/>
          <w:p>
            <w:pPr>
              <w:pStyle w:val="Compact"/>
            </w:pPr>
            <w:hyperlink r:id="rId80">
              <w:r>
                <w:rPr>
                  <w:rStyle w:val="Hyperlink"/>
                </w:rPr>
                <w:t xml:space="preserve">Kaltwasser und Hirnnetzwerk-Konnektivität, PMC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2023</w:t>
            </w:r>
          </w:p>
        </w:tc>
      </w:tr>
      <w:tr>
        <w:tc>
          <w:tcPr/>
          <w:p>
            <w:pPr>
              <w:pStyle w:val="Compact"/>
            </w:pPr>
            <w:r>
              <w:t xml:space="preserve">41</w:t>
            </w:r>
          </w:p>
        </w:tc>
        <w:tc>
          <w:tcPr/>
          <w:p>
            <w:pPr>
              <w:pStyle w:val="Compact"/>
            </w:pPr>
            <w:hyperlink r:id="rId12">
              <w:r>
                <w:rPr>
                  <w:rStyle w:val="Hyperlink"/>
                </w:rPr>
                <w:t xml:space="preserve">Harvard CogFx — CO₂ und Kognition, EHP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2016</w:t>
            </w:r>
          </w:p>
        </w:tc>
      </w:tr>
      <w:tr>
        <w:tc>
          <w:tcPr/>
          <w:p>
            <w:pPr>
              <w:pStyle w:val="Compact"/>
            </w:pPr>
            <w:r>
              <w:t xml:space="preserve">42</w:t>
            </w:r>
          </w:p>
        </w:tc>
        <w:tc>
          <w:tcPr/>
          <w:p>
            <w:pPr>
              <w:pStyle w:val="Compact"/>
            </w:pPr>
            <w:hyperlink r:id="rId83">
              <w:r>
                <w:rPr>
                  <w:rStyle w:val="Hyperlink"/>
                </w:rPr>
                <w:t xml:space="preserve">DGUV — Raumluftqualität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aktuell</w:t>
            </w:r>
          </w:p>
        </w:tc>
      </w:tr>
      <w:tr>
        <w:tc>
          <w:tcPr/>
          <w:p>
            <w:pPr>
              <w:pStyle w:val="Compact"/>
            </w:pPr>
            <w:r>
              <w:t xml:space="preserve">43</w:t>
            </w:r>
          </w:p>
        </w:tc>
        <w:tc>
          <w:tcPr/>
          <w:p>
            <w:pPr>
              <w:pStyle w:val="Compact"/>
            </w:pPr>
            <w:hyperlink r:id="rId87">
              <w:r>
                <w:rPr>
                  <w:rStyle w:val="Hyperlink"/>
                </w:rPr>
                <w:t xml:space="preserve">Sauna und Demenzrisiko — Finnische Kohorte, PMC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2020</w:t>
            </w:r>
          </w:p>
        </w:tc>
      </w:tr>
      <w:tr>
        <w:tc>
          <w:tcPr/>
          <w:p>
            <w:pPr>
              <w:pStyle w:val="Compact"/>
            </w:pPr>
            <w:r>
              <w:t xml:space="preserve">44</w:t>
            </w:r>
          </w:p>
        </w:tc>
        <w:tc>
          <w:tcPr/>
          <w:p>
            <w:pPr>
              <w:pStyle w:val="Compact"/>
            </w:pPr>
            <w:hyperlink r:id="rId85">
              <w:r>
                <w:rPr>
                  <w:rStyle w:val="Hyperlink"/>
                </w:rPr>
                <w:t xml:space="preserve">Workplace Noise Statistics, Speakwise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Orientation</w:t>
            </w:r>
          </w:p>
        </w:tc>
        <w:tc>
          <w:tcPr/>
          <w:p>
            <w:pPr>
              <w:pStyle w:val="Compact"/>
            </w:pPr>
            <w:r>
              <w:t xml:space="preserve">2026</w:t>
            </w:r>
          </w:p>
        </w:tc>
      </w:tr>
      <w:tr>
        <w:tc>
          <w:tcPr/>
          <w:p>
            <w:pPr>
              <w:pStyle w:val="Compact"/>
            </w:pPr>
            <w:r>
              <w:t xml:space="preserve">45</w:t>
            </w:r>
          </w:p>
        </w:tc>
        <w:tc>
          <w:tcPr/>
          <w:p>
            <w:pPr>
              <w:pStyle w:val="Compact"/>
            </w:pPr>
            <w:hyperlink r:id="rId90">
              <w:r>
                <w:rPr>
                  <w:rStyle w:val="Hyperlink"/>
                </w:rPr>
                <w:t xml:space="preserve">Circadiane Aufmerksamkeitsrhythmen, PMC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2019</w:t>
            </w:r>
          </w:p>
        </w:tc>
      </w:tr>
      <w:tr>
        <w:tc>
          <w:tcPr/>
          <w:p>
            <w:pPr>
              <w:pStyle w:val="Compact"/>
            </w:pPr>
            <w:r>
              <w:t xml:space="preserve">46</w:t>
            </w:r>
          </w:p>
        </w:tc>
        <w:tc>
          <w:tcPr/>
          <w:p>
            <w:pPr>
              <w:pStyle w:val="Compact"/>
            </w:pPr>
            <w:hyperlink r:id="rId91">
              <w:r>
                <w:rPr>
                  <w:rStyle w:val="Hyperlink"/>
                </w:rPr>
                <w:t xml:space="preserve">Kognitive Domänen und Tageszeit, PMC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2023</w:t>
            </w:r>
          </w:p>
        </w:tc>
      </w:tr>
      <w:tr>
        <w:tc>
          <w:tcPr/>
          <w:p>
            <w:pPr>
              <w:pStyle w:val="Compact"/>
            </w:pPr>
            <w:r>
              <w:t xml:space="preserve">47</w:t>
            </w:r>
          </w:p>
        </w:tc>
        <w:tc>
          <w:tcPr/>
          <w:p>
            <w:pPr>
              <w:pStyle w:val="Compact"/>
            </w:pPr>
            <w:hyperlink r:id="rId93">
              <w:r>
                <w:rPr>
                  <w:rStyle w:val="Hyperlink"/>
                </w:rPr>
                <w:t xml:space="preserve">Leroy — Attention Residue, OBHDP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2009</w:t>
            </w:r>
          </w:p>
        </w:tc>
      </w:tr>
      <w:tr>
        <w:tc>
          <w:tcPr/>
          <w:p>
            <w:pPr>
              <w:pStyle w:val="Compact"/>
            </w:pPr>
            <w:r>
              <w:t xml:space="preserve">48</w:t>
            </w:r>
          </w:p>
        </w:tc>
        <w:tc>
          <w:tcPr/>
          <w:p>
            <w:pPr>
              <w:pStyle w:val="Compact"/>
            </w:pPr>
            <w:hyperlink r:id="rId94">
              <w:r>
                <w:rPr>
                  <w:rStyle w:val="Hyperlink"/>
                </w:rPr>
                <w:t xml:space="preserve">BRAC — Keine 90-Min.-Periodizität, PubMed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1995</w:t>
            </w:r>
          </w:p>
        </w:tc>
      </w:tr>
      <w:tr>
        <w:tc>
          <w:tcPr/>
          <w:p>
            <w:pPr>
              <w:pStyle w:val="Compact"/>
            </w:pPr>
            <w:r>
              <w:t xml:space="preserve">49</w:t>
            </w:r>
          </w:p>
        </w:tc>
        <w:tc>
          <w:tcPr/>
          <w:p>
            <w:pPr>
              <w:pStyle w:val="Compact"/>
            </w:pPr>
            <w:hyperlink r:id="rId96">
              <w:r>
                <w:rPr>
                  <w:rStyle w:val="Hyperlink"/>
                </w:rPr>
                <w:t xml:space="preserve">Spektrum — Pausenforschung / BAuA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Orientation</w:t>
            </w:r>
          </w:p>
        </w:tc>
        <w:tc>
          <w:tcPr/>
          <w:p>
            <w:pPr>
              <w:pStyle w:val="Compact"/>
            </w:pPr>
            <w:r>
              <w:t xml:space="preserve">2020</w:t>
            </w:r>
          </w:p>
        </w:tc>
      </w:tr>
      <w:tr>
        <w:tc>
          <w:tcPr/>
          <w:p>
            <w:pPr>
              <w:pStyle w:val="Compact"/>
            </w:pPr>
            <w:r>
              <w:t xml:space="preserve">50</w:t>
            </w:r>
          </w:p>
        </w:tc>
        <w:tc>
          <w:tcPr/>
          <w:p>
            <w:pPr>
              <w:pStyle w:val="Compact"/>
            </w:pPr>
            <w:hyperlink r:id="rId98">
              <w:r>
                <w:rPr>
                  <w:rStyle w:val="Hyperlink"/>
                </w:rPr>
                <w:t xml:space="preserve">Power Naps und Kognition — Meta-Analyse, PMC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2021</w:t>
            </w:r>
          </w:p>
        </w:tc>
      </w:tr>
      <w:tr>
        <w:tc>
          <w:tcPr/>
          <w:p>
            <w:pPr>
              <w:pStyle w:val="Compact"/>
            </w:pPr>
            <w:r>
              <w:t xml:space="preserve">51</w:t>
            </w:r>
          </w:p>
        </w:tc>
        <w:tc>
          <w:tcPr/>
          <w:p>
            <w:pPr>
              <w:pStyle w:val="Compact"/>
            </w:pPr>
            <w:hyperlink r:id="rId15">
              <w:r>
                <w:rPr>
                  <w:rStyle w:val="Hyperlink"/>
                </w:rPr>
                <w:t xml:space="preserve">Multitasking — Kognitive Kosten, PMC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2020</w:t>
            </w:r>
          </w:p>
        </w:tc>
      </w:tr>
      <w:tr>
        <w:tc>
          <w:tcPr/>
          <w:p>
            <w:pPr>
              <w:pStyle w:val="Compact"/>
            </w:pPr>
            <w:r>
              <w:t xml:space="preserve">52</w:t>
            </w:r>
          </w:p>
        </w:tc>
        <w:tc>
          <w:tcPr/>
          <w:p>
            <w:pPr>
              <w:pStyle w:val="Compact"/>
            </w:pPr>
            <w:hyperlink r:id="rId100">
              <w:r>
                <w:rPr>
                  <w:rStyle w:val="Hyperlink"/>
                </w:rPr>
                <w:t xml:space="preserve">Digitales Multitasking und Hirngesundheit, PMC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2024</w:t>
            </w:r>
          </w:p>
        </w:tc>
      </w:tr>
      <w:tr>
        <w:tc>
          <w:tcPr/>
          <w:p>
            <w:pPr>
              <w:pStyle w:val="Compact"/>
            </w:pPr>
            <w:r>
              <w:t xml:space="preserve">53</w:t>
            </w:r>
          </w:p>
        </w:tc>
        <w:tc>
          <w:tcPr/>
          <w:p>
            <w:pPr>
              <w:pStyle w:val="Compact"/>
            </w:pPr>
            <w:hyperlink r:id="rId102">
              <w:r>
                <w:rPr>
                  <w:rStyle w:val="Hyperlink"/>
                </w:rPr>
                <w:t xml:space="preserve">Pomodoro vs. selbstregulierte Pausen, PMC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2025</w:t>
            </w:r>
          </w:p>
        </w:tc>
      </w:tr>
      <w:tr>
        <w:tc>
          <w:tcPr/>
          <w:p>
            <w:pPr>
              <w:pStyle w:val="Compact"/>
            </w:pPr>
            <w:r>
              <w:t xml:space="preserve">54</w:t>
            </w:r>
          </w:p>
        </w:tc>
        <w:tc>
          <w:tcPr/>
          <w:p>
            <w:pPr>
              <w:pStyle w:val="Compact"/>
            </w:pPr>
            <w:hyperlink r:id="rId103">
              <w:r>
                <w:rPr>
                  <w:rStyle w:val="Hyperlink"/>
                </w:rPr>
                <w:t xml:space="preserve">Pomodoro — Scoping Review, PMC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Evidence</w:t>
            </w:r>
          </w:p>
        </w:tc>
        <w:tc>
          <w:tcPr/>
          <w:p>
            <w:pPr>
              <w:pStyle w:val="Compact"/>
            </w:pPr>
            <w:r>
              <w:t xml:space="preserve">2025</w:t>
            </w:r>
          </w:p>
        </w:tc>
      </w:tr>
      <w:tr>
        <w:tc>
          <w:tcPr/>
          <w:p>
            <w:pPr>
              <w:pStyle w:val="Compact"/>
            </w:pPr>
            <w:r>
              <w:t xml:space="preserve">55</w:t>
            </w:r>
          </w:p>
        </w:tc>
        <w:tc>
          <w:tcPr/>
          <w:p>
            <w:pPr>
              <w:pStyle w:val="Compact"/>
            </w:pPr>
            <w:hyperlink r:id="rId72">
              <w:r>
                <w:rPr>
                  <w:rStyle w:val="Hyperlink"/>
                </w:rPr>
                <w:t xml:space="preserve">Augengesundheit bei Bildschirmarbeit, Sichere Arbeit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Orientation</w:t>
            </w:r>
          </w:p>
        </w:tc>
        <w:tc>
          <w:tcPr/>
          <w:p>
            <w:pPr>
              <w:pStyle w:val="Compact"/>
            </w:pPr>
            <w:r>
              <w:t xml:space="preserve">2024</w:t>
            </w: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i/>
          <w:iCs/>
        </w:rPr>
        <w:t xml:space="preserve">Erstellt mit</w:t>
      </w:r>
      <w:r>
        <w:rPr>
          <w:i/>
          <w:iCs/>
        </w:rPr>
        <w:t xml:space="preserve"> </w:t>
      </w:r>
      <w:hyperlink r:id="rId107">
        <w:r>
          <w:rPr>
            <w:rStyle w:val="Hyperlink"/>
            <w:i/>
            <w:iCs/>
          </w:rPr>
          <w:t xml:space="preserve">Deep Researcher</w:t>
        </w:r>
      </w:hyperlink>
      <w:r>
        <w:rPr>
          <w:i/>
          <w:iCs/>
        </w:rPr>
        <w:t xml:space="preserve"> </w:t>
      </w:r>
      <w:r>
        <w:rPr>
          <w:i/>
          <w:iCs/>
        </w:rPr>
        <w:t xml:space="preserve">von Leon Beckert</w:t>
      </w:r>
    </w:p>
    <w:bookmarkEnd w:id="108"/>
    <w:bookmarkEnd w:id="109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  <w:num w:numId="1011">
    <w:abstractNumId w:val="991"/>
  </w:num>
  <w:num w:numId="1012">
    <w:abstractNumId w:val="991"/>
  </w:num>
  <w:num w:numId="1013">
    <w:abstractNumId w:val="991"/>
  </w:num>
  <w:num w:numId="1014">
    <w:abstractNumId w:val="991"/>
  </w:num>
  <w:num w:numId="1015">
    <w:abstractNumId w:val="991"/>
  </w:num>
  <w:num w:numId="1016">
    <w:abstractNumId w:val="991"/>
  </w:num>
  <w:num w:numId="1017">
    <w:abstractNumId w:val="991"/>
  </w:num>
  <w:num w:numId="1018">
    <w:abstractNumId w:val="991"/>
  </w:num>
  <w:num w:numId="1019">
    <w:abstractNumId w:val="991"/>
  </w:num>
  <w:num w:numId="1020">
    <w:abstractNumId w:val="991"/>
  </w:num>
  <w:num w:numId="1021">
    <w:abstractNumId w:val="991"/>
  </w:num>
  <w:num w:numId="1022">
    <w:abstractNumId w:val="991"/>
  </w:num>
  <w:num w:numId="1023">
    <w:abstractNumId w:val="991"/>
  </w:num>
  <w:num w:numId="1024">
    <w:abstractNumId w:val="991"/>
  </w:num>
  <w:num w:numId="1025">
    <w:abstractNumId w:val="991"/>
  </w:num>
  <w:num w:numId="1026">
    <w:abstractNumId w:val="991"/>
  </w:num>
  <w:num w:numId="1027">
    <w:abstractNumId w:val="991"/>
  </w:num>
  <w:num w:numId="1028">
    <w:abstractNumId w:val="991"/>
  </w:num>
  <w:num w:numId="1029">
    <w:abstractNumId w:val="991"/>
  </w:num>
  <w:num w:numId="1030">
    <w:abstractNumId w:val="991"/>
  </w:num>
  <w:num w:numId="1031">
    <w:abstractNumId w:val="991"/>
  </w:num>
  <w:num w:numId="1032">
    <w:abstractNumId w:val="991"/>
  </w:num>
  <w:num w:numId="1033">
    <w:abstractNumId w:val="991"/>
  </w:num>
  <w:num w:numId="1034">
    <w:abstractNumId w:val="991"/>
  </w:num>
  <w:num w:numId="1035">
    <w:abstractNumId w:val="991"/>
  </w:num>
  <w:num w:numId="1036">
    <w:abstractNumId w:val="991"/>
  </w:num>
  <w:num w:numId="1037">
    <w:abstractNumId w:val="991"/>
  </w:num>
  <w:num w:numId="1038">
    <w:abstractNumId w:val="991"/>
  </w:num>
  <w:num w:numId="1039">
    <w:abstractNumId w:val="991"/>
  </w:num>
  <w:num w:numId="1040">
    <w:abstractNumId w:val="991"/>
  </w:num>
  <w:num w:numId="1041">
    <w:abstractNumId w:val="991"/>
  </w:num>
  <w:num w:numId="1042">
    <w:abstractNumId w:val="991"/>
  </w:num>
  <w:num w:numId="1043">
    <w:abstractNumId w:val="991"/>
  </w:num>
  <w:num w:numId="1044">
    <w:abstractNumId w:val="991"/>
  </w:num>
  <w:num w:numId="1045">
    <w:abstractNumId w:val="991"/>
  </w:num>
  <w:num w:numId="1046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  <w:shd w:val="clear" w:fill="ffffff"/>
    </w:pPr>
  </w:style>
  <w:style w:type="character" w:customStyle="1" w:styleId="KeywordTok">
    <w:name w:val="KeywordTok"/>
    <w:basedOn w:val="VerbatimChar"/>
    <w:rPr>
      <w:b/>
      <w:color w:val="1f1c1b"/>
      <w:shd w:val="clear" w:fill="ffffff"/>
    </w:rPr>
  </w:style>
  <w:style w:type="character" w:customStyle="1" w:styleId="DataTypeTok">
    <w:name w:val="DataTypeTok"/>
    <w:basedOn w:val="VerbatimChar"/>
    <w:rPr>
      <w:color w:val="0057ae"/>
      <w:shd w:val="clear" w:fill="ffffff"/>
    </w:rPr>
  </w:style>
  <w:style w:type="character" w:customStyle="1" w:styleId="DecValTok">
    <w:name w:val="DecValTok"/>
    <w:basedOn w:val="VerbatimChar"/>
    <w:rPr>
      <w:color w:val="b08000"/>
      <w:shd w:val="clear" w:fill="ffffff"/>
    </w:rPr>
  </w:style>
  <w:style w:type="character" w:customStyle="1" w:styleId="BaseNTok">
    <w:name w:val="BaseNTok"/>
    <w:basedOn w:val="VerbatimChar"/>
    <w:rPr>
      <w:color w:val="b08000"/>
      <w:shd w:val="clear" w:fill="ffffff"/>
    </w:rPr>
  </w:style>
  <w:style w:type="character" w:customStyle="1" w:styleId="FloatTok">
    <w:name w:val="FloatTok"/>
    <w:basedOn w:val="VerbatimChar"/>
    <w:rPr>
      <w:color w:val="b08000"/>
      <w:shd w:val="clear" w:fill="ffffff"/>
    </w:rPr>
  </w:style>
  <w:style w:type="character" w:customStyle="1" w:styleId="ConstantTok">
    <w:name w:val="ConstantTok"/>
    <w:basedOn w:val="VerbatimChar"/>
    <w:rPr>
      <w:color w:val="aa5500"/>
      <w:shd w:val="clear" w:fill="ffffff"/>
    </w:rPr>
  </w:style>
  <w:style w:type="character" w:customStyle="1" w:styleId="CharTok">
    <w:name w:val="CharTok"/>
    <w:basedOn w:val="VerbatimChar"/>
    <w:rPr>
      <w:color w:val="924c9d"/>
      <w:shd w:val="clear" w:fill="ffffff"/>
    </w:rPr>
  </w:style>
  <w:style w:type="character" w:customStyle="1" w:styleId="SpecialCharTok">
    <w:name w:val="SpecialCharTok"/>
    <w:basedOn w:val="VerbatimChar"/>
    <w:rPr>
      <w:color w:val="3daee9"/>
      <w:shd w:val="clear" w:fill="ffffff"/>
    </w:rPr>
  </w:style>
  <w:style w:type="character" w:customStyle="1" w:styleId="StringTok">
    <w:name w:val="StringTok"/>
    <w:basedOn w:val="VerbatimChar"/>
    <w:rPr>
      <w:color w:val="bf0303"/>
      <w:shd w:val="clear" w:fill="ffffff"/>
    </w:rPr>
  </w:style>
  <w:style w:type="character" w:customStyle="1" w:styleId="VerbatimStringTok">
    <w:name w:val="VerbatimStringTok"/>
    <w:basedOn w:val="VerbatimChar"/>
    <w:rPr>
      <w:color w:val="bf0303"/>
      <w:shd w:val="clear" w:fill="ffffff"/>
    </w:rPr>
  </w:style>
  <w:style w:type="character" w:customStyle="1" w:styleId="SpecialStringTok">
    <w:name w:val="SpecialStringTok"/>
    <w:basedOn w:val="VerbatimChar"/>
    <w:rPr>
      <w:color w:val="ff5500"/>
      <w:shd w:val="clear" w:fill="ffffff"/>
    </w:rPr>
  </w:style>
  <w:style w:type="character" w:customStyle="1" w:styleId="ImportTok">
    <w:name w:val="ImportTok"/>
    <w:basedOn w:val="VerbatimChar"/>
    <w:rPr>
      <w:color w:val="ff5500"/>
      <w:shd w:val="clear" w:fill="ffffff"/>
    </w:rPr>
  </w:style>
  <w:style w:type="character" w:customStyle="1" w:styleId="CommentTok">
    <w:name w:val="CommentTok"/>
    <w:basedOn w:val="VerbatimChar"/>
    <w:rPr>
      <w:color w:val="898887"/>
      <w:shd w:val="clear" w:fill="ffffff"/>
    </w:rPr>
  </w:style>
  <w:style w:type="character" w:customStyle="1" w:styleId="DocumentationTok">
    <w:name w:val="DocumentationTok"/>
    <w:basedOn w:val="VerbatimChar"/>
    <w:rPr>
      <w:color w:val="607880"/>
      <w:shd w:val="clear" w:fill="ffffff"/>
    </w:rPr>
  </w:style>
  <w:style w:type="character" w:customStyle="1" w:styleId="AnnotationTok">
    <w:name w:val="AnnotationTok"/>
    <w:basedOn w:val="VerbatimChar"/>
    <w:rPr>
      <w:color w:val="ca60ca"/>
      <w:shd w:val="clear" w:fill="ffffff"/>
    </w:rPr>
  </w:style>
  <w:style w:type="character" w:customStyle="1" w:styleId="CommentVarTok">
    <w:name w:val="CommentVarTok"/>
    <w:basedOn w:val="VerbatimChar"/>
    <w:rPr>
      <w:color w:val="0095ff"/>
      <w:shd w:val="clear" w:fill="ffffff"/>
    </w:rPr>
  </w:style>
  <w:style w:type="character" w:customStyle="1" w:styleId="OtherTok">
    <w:name w:val="OtherTok"/>
    <w:basedOn w:val="VerbatimChar"/>
    <w:rPr>
      <w:color w:val="006e28"/>
      <w:shd w:val="clear" w:fill="ffffff"/>
    </w:rPr>
  </w:style>
  <w:style w:type="character" w:customStyle="1" w:styleId="FunctionTok">
    <w:name w:val="FunctionTok"/>
    <w:basedOn w:val="VerbatimChar"/>
    <w:rPr>
      <w:color w:val="644a9b"/>
      <w:shd w:val="clear" w:fill="ffffff"/>
    </w:rPr>
  </w:style>
  <w:style w:type="character" w:customStyle="1" w:styleId="VariableTok">
    <w:name w:val="VariableTok"/>
    <w:basedOn w:val="VerbatimChar"/>
    <w:rPr>
      <w:color w:val="0057ae"/>
      <w:shd w:val="clear" w:fill="ffffff"/>
    </w:rPr>
  </w:style>
  <w:style w:type="character" w:customStyle="1" w:styleId="ControlFlowTok">
    <w:name w:val="ControlFlowTok"/>
    <w:basedOn w:val="VerbatimChar"/>
    <w:rPr>
      <w:b/>
      <w:color w:val="1f1c1b"/>
      <w:shd w:val="clear" w:fill="ffffff"/>
    </w:rPr>
  </w:style>
  <w:style w:type="character" w:customStyle="1" w:styleId="OperatorTok">
    <w:name w:val="OperatorTok"/>
    <w:basedOn w:val="VerbatimChar"/>
    <w:rPr>
      <w:color w:val="1f1c1b"/>
      <w:shd w:val="clear" w:fill="ffffff"/>
    </w:rPr>
  </w:style>
  <w:style w:type="character" w:customStyle="1" w:styleId="BuiltInTok">
    <w:name w:val="BuiltInTok"/>
    <w:basedOn w:val="VerbatimChar"/>
    <w:rPr>
      <w:b/>
      <w:color w:val="644a9b"/>
      <w:shd w:val="clear" w:fill="ffffff"/>
    </w:rPr>
  </w:style>
  <w:style w:type="character" w:customStyle="1" w:styleId="ExtensionTok">
    <w:name w:val="ExtensionTok"/>
    <w:basedOn w:val="VerbatimChar"/>
    <w:rPr>
      <w:b/>
      <w:color w:val="0095ff"/>
      <w:shd w:val="clear" w:fill="ffffff"/>
    </w:rPr>
  </w:style>
  <w:style w:type="character" w:customStyle="1" w:styleId="PreprocessorTok">
    <w:name w:val="PreprocessorTok"/>
    <w:basedOn w:val="VerbatimChar"/>
    <w:rPr>
      <w:color w:val="006e28"/>
      <w:shd w:val="clear" w:fill="ffffff"/>
    </w:rPr>
  </w:style>
  <w:style w:type="character" w:customStyle="1" w:styleId="AttributeTok">
    <w:name w:val="AttributeTok"/>
    <w:basedOn w:val="VerbatimChar"/>
    <w:rPr>
      <w:color w:val="0057ae"/>
      <w:shd w:val="clear" w:fill="ffffff"/>
    </w:rPr>
  </w:style>
  <w:style w:type="character" w:customStyle="1" w:styleId="RegionMarkerTok">
    <w:name w:val="RegionMarkerTok"/>
    <w:basedOn w:val="VerbatimChar"/>
    <w:rPr>
      <w:color w:val="0057ae"/>
      <w:shd w:val="clear" w:fill="e0e9f8"/>
    </w:rPr>
  </w:style>
  <w:style w:type="character" w:customStyle="1" w:styleId="InformationTok">
    <w:name w:val="InformationTok"/>
    <w:basedOn w:val="VerbatimChar"/>
    <w:rPr>
      <w:color w:val="b08000"/>
      <w:shd w:val="clear" w:fill="ffffff"/>
    </w:rPr>
  </w:style>
  <w:style w:type="character" w:customStyle="1" w:styleId="WarningTok">
    <w:name w:val="WarningTok"/>
    <w:basedOn w:val="VerbatimChar"/>
    <w:rPr>
      <w:color w:val="bf0303"/>
      <w:shd w:val="clear" w:fill="ffffff"/>
    </w:rPr>
  </w:style>
  <w:style w:type="character" w:customStyle="1" w:styleId="AlertTok">
    <w:name w:val="AlertTok"/>
    <w:basedOn w:val="VerbatimChar"/>
    <w:rPr>
      <w:b/>
      <w:color w:val="bf0303"/>
      <w:shd w:val="clear" w:fill="f7e6e6"/>
    </w:rPr>
  </w:style>
  <w:style w:type="character" w:customStyle="1" w:styleId="ErrorTok">
    <w:name w:val="ErrorTok"/>
    <w:basedOn w:val="VerbatimChar"/>
    <w:rPr>
      <w:color w:val="bf0303"/>
      <w:u/>
      <w:shd w:val="clear" w:fill="ffffff"/>
    </w:rPr>
  </w:style>
  <w:style w:type="character" w:customStyle="1" w:styleId="NormalTok">
    <w:name w:val="NormalTok"/>
    <w:basedOn w:val="VerbatimChar"/>
    <w:rPr>
      <w:color w:val="1f1c1b"/>
      <w:shd w:val="clear" w:fill="ffffff"/>
    </w:r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Relationship Type="http://schemas.openxmlformats.org/officeDocument/2006/relationships/hyperlink" Id="rId107" Target="https://deep-research.leon.fm" TargetMode="External" /><Relationship Type="http://schemas.openxmlformats.org/officeDocument/2006/relationships/hyperlink" Id="rId29" Target="https://journals.plos.org/plosone/article?id=10.1371/journal.pone.0301616" TargetMode="External" /><Relationship Type="http://schemas.openxmlformats.org/officeDocument/2006/relationships/hyperlink" Id="rId40" Target="https://link.springer.com/article/10.1186/s11556-026-00404-2" TargetMode="External" /><Relationship Type="http://schemas.openxmlformats.org/officeDocument/2006/relationships/hyperlink" Id="rId76" Target="https://neurosciencenews.com/temperature-aging-cognition-28353/" TargetMode="External" /><Relationship Type="http://schemas.openxmlformats.org/officeDocument/2006/relationships/hyperlink" Id="rId32" Target="https://news.northeastern.edu/2025/12/19/exercise-benefits-executive-function/" TargetMode="External" /><Relationship Type="http://schemas.openxmlformats.org/officeDocument/2006/relationships/hyperlink" Id="rId91" Target="https://pmc.ncbi.nlm.nih.gov/articles/PMC10683050/" TargetMode="External" /><Relationship Type="http://schemas.openxmlformats.org/officeDocument/2006/relationships/hyperlink" Id="rId54" Target="https://pmc.ncbi.nlm.nih.gov/articles/PMC11275561/" TargetMode="External" /><Relationship Type="http://schemas.openxmlformats.org/officeDocument/2006/relationships/hyperlink" Id="rId100" Target="https://pmc.ncbi.nlm.nih.gov/articles/PMC11543232/" TargetMode="External" /><Relationship Type="http://schemas.openxmlformats.org/officeDocument/2006/relationships/hyperlink" Id="rId37" Target="https://pmc.ncbi.nlm.nih.gov/articles/PMC11810746/" TargetMode="External" /><Relationship Type="http://schemas.openxmlformats.org/officeDocument/2006/relationships/hyperlink" Id="rId102" Target="https://pmc.ncbi.nlm.nih.gov/articles/PMC12292963/" TargetMode="External" /><Relationship Type="http://schemas.openxmlformats.org/officeDocument/2006/relationships/hyperlink" Id="rId45" Target="https://pmc.ncbi.nlm.nih.gov/articles/PMC12368174/" TargetMode="External" /><Relationship Type="http://schemas.openxmlformats.org/officeDocument/2006/relationships/hyperlink" Id="rId57" Target="https://pmc.ncbi.nlm.nih.gov/articles/PMC12466949/" TargetMode="External" /><Relationship Type="http://schemas.openxmlformats.org/officeDocument/2006/relationships/hyperlink" Id="rId65" Target="https://pmc.ncbi.nlm.nih.gov/articles/PMC12502225/" TargetMode="External" /><Relationship Type="http://schemas.openxmlformats.org/officeDocument/2006/relationships/hyperlink" Id="rId25" Target="https://pmc.ncbi.nlm.nih.gov/articles/PMC12528034/" TargetMode="External" /><Relationship Type="http://schemas.openxmlformats.org/officeDocument/2006/relationships/hyperlink" Id="rId103" Target="https://pmc.ncbi.nlm.nih.gov/articles/PMC12532815/" TargetMode="External" /><Relationship Type="http://schemas.openxmlformats.org/officeDocument/2006/relationships/hyperlink" Id="rId35" Target="https://pmc.ncbi.nlm.nih.gov/articles/PMC12788999/" TargetMode="External" /><Relationship Type="http://schemas.openxmlformats.org/officeDocument/2006/relationships/hyperlink" Id="rId12" Target="https://pmc.ncbi.nlm.nih.gov/articles/PMC4892924/" TargetMode="External" /><Relationship Type="http://schemas.openxmlformats.org/officeDocument/2006/relationships/hyperlink" Id="rId90" Target="https://pmc.ncbi.nlm.nih.gov/articles/PMC6430172/" TargetMode="External" /><Relationship Type="http://schemas.openxmlformats.org/officeDocument/2006/relationships/hyperlink" Id="rId68" Target="https://pmc.ncbi.nlm.nih.gov/articles/PMC6746555/" TargetMode="External" /><Relationship Type="http://schemas.openxmlformats.org/officeDocument/2006/relationships/hyperlink" Id="rId15" Target="https://pmc.ncbi.nlm.nih.gov/articles/PMC7075496/" TargetMode="External" /><Relationship Type="http://schemas.openxmlformats.org/officeDocument/2006/relationships/hyperlink" Id="rId87" Target="https://pmc.ncbi.nlm.nih.gov/articles/PMC7560162/" TargetMode="External" /><Relationship Type="http://schemas.openxmlformats.org/officeDocument/2006/relationships/hyperlink" Id="rId81" Target="https://pmc.ncbi.nlm.nih.gov/articles/PMC8470111/" TargetMode="External" /><Relationship Type="http://schemas.openxmlformats.org/officeDocument/2006/relationships/hyperlink" Id="rId98" Target="https://pmc.ncbi.nlm.nih.gov/articles/PMC8507757/" TargetMode="External" /><Relationship Type="http://schemas.openxmlformats.org/officeDocument/2006/relationships/hyperlink" Id="rId67" Target="https://pmc.ncbi.nlm.nih.gov/articles/PMC8810929/" TargetMode="External" /><Relationship Type="http://schemas.openxmlformats.org/officeDocument/2006/relationships/hyperlink" Id="rId62" Target="https://pmc.ncbi.nlm.nih.gov/articles/PMC8848614/" TargetMode="External" /><Relationship Type="http://schemas.openxmlformats.org/officeDocument/2006/relationships/hyperlink" Id="rId60" Target="https://pmc.ncbi.nlm.nih.gov/articles/PMC8929548/" TargetMode="External" /><Relationship Type="http://schemas.openxmlformats.org/officeDocument/2006/relationships/hyperlink" Id="rId80" Target="https://pmc.ncbi.nlm.nih.gov/articles/PMC9953392/" TargetMode="External" /><Relationship Type="http://schemas.openxmlformats.org/officeDocument/2006/relationships/hyperlink" Id="rId79" Target="https://pubmed.ncbi.nlm.nih.gov/10751106/" TargetMode="External" /><Relationship Type="http://schemas.openxmlformats.org/officeDocument/2006/relationships/hyperlink" Id="rId9" Target="https://pubmed.ncbi.nlm.nih.gov/12683469/" TargetMode="External" /><Relationship Type="http://schemas.openxmlformats.org/officeDocument/2006/relationships/hyperlink" Id="rId42" Target="https://pubmed.ncbi.nlm.nih.gov/24749966/" TargetMode="External" /><Relationship Type="http://schemas.openxmlformats.org/officeDocument/2006/relationships/hyperlink" Id="rId19" Target="https://pubmed.ncbi.nlm.nih.gov/26847980/" TargetMode="External" /><Relationship Type="http://schemas.openxmlformats.org/officeDocument/2006/relationships/hyperlink" Id="rId50" Target="https://pubmed.ncbi.nlm.nih.gov/29933347/" TargetMode="External" /><Relationship Type="http://schemas.openxmlformats.org/officeDocument/2006/relationships/hyperlink" Id="rId47" Target="https://pubmed.ncbi.nlm.nih.gov/39797935/" TargetMode="External" /><Relationship Type="http://schemas.openxmlformats.org/officeDocument/2006/relationships/hyperlink" Id="rId10" Target="https://pubmed.ncbi.nlm.nih.gov/39883421/" TargetMode="External" /><Relationship Type="http://schemas.openxmlformats.org/officeDocument/2006/relationships/hyperlink" Id="rId24" Target="https://pubmed.ncbi.nlm.nih.gov/40293205/" TargetMode="External" /><Relationship Type="http://schemas.openxmlformats.org/officeDocument/2006/relationships/hyperlink" Id="rId14" Target="https://pubmed.ncbi.nlm.nih.gov/40335666/" TargetMode="External" /><Relationship Type="http://schemas.openxmlformats.org/officeDocument/2006/relationships/hyperlink" Id="rId27" Target="https://pubmed.ncbi.nlm.nih.gov/41259946/" TargetMode="External" /><Relationship Type="http://schemas.openxmlformats.org/officeDocument/2006/relationships/hyperlink" Id="rId94" Target="https://pubmed.ncbi.nlm.nih.gov/7669837/" TargetMode="External" /><Relationship Type="http://schemas.openxmlformats.org/officeDocument/2006/relationships/hyperlink" Id="rId85" Target="https://speakwiseapp.com/blog/workplace-noise-statistics" TargetMode="External" /><Relationship Type="http://schemas.openxmlformats.org/officeDocument/2006/relationships/hyperlink" Id="rId52" Target="https://www.apa.org/pubs/journals/releases/bul-bul0000492.pdf" TargetMode="External" /><Relationship Type="http://schemas.openxmlformats.org/officeDocument/2006/relationships/hyperlink" Id="rId13" Target="https://www.baua.de/DE/Forschung/Forschungsprojekte/f2449.html" TargetMode="External" /><Relationship Type="http://schemas.openxmlformats.org/officeDocument/2006/relationships/hyperlink" Id="rId70" Target="https://www.cochranelibrary.com/cdsr/doi/10.1002/14651858.CD013244.pub2/full" TargetMode="External" /><Relationship Type="http://schemas.openxmlformats.org/officeDocument/2006/relationships/hyperlink" Id="rId83" Target="https://www.dguv.de/ifa/praxishilfen/innenraumarbeitsplaetze/raumluftqualitaet/index.jsp" TargetMode="External" /><Relationship Type="http://schemas.openxmlformats.org/officeDocument/2006/relationships/hyperlink" Id="rId34" Target="https://www.frontiersin.org/journals/aging-neuroscience/articles/10.3389/fnagi.2025.1510773/full" TargetMode="External" /><Relationship Type="http://schemas.openxmlformats.org/officeDocument/2006/relationships/hyperlink" Id="rId17" Target="https://www.frontiersin.org/journals/behavioral-neuroscience/articles/10.3389/fnbeh.2025.1620544/full" TargetMode="External" /><Relationship Type="http://schemas.openxmlformats.org/officeDocument/2006/relationships/hyperlink" Id="rId71" Target="https://www.frontiersin.org/journals/neurology/articles/10.3389/fneur.2025.1699303/full" TargetMode="External" /><Relationship Type="http://schemas.openxmlformats.org/officeDocument/2006/relationships/hyperlink" Id="rId22" Target="https://www.frontiersin.org/journals/neuroscience/articles/10.3389/fnins.2025.1559969/full" TargetMode="External" /><Relationship Type="http://schemas.openxmlformats.org/officeDocument/2006/relationships/hyperlink" Id="rId39" Target="https://www.frontiersin.org/journals/psychiatry/articles/10.3389/fpsyt.2024.1436499/full" TargetMode="External" /><Relationship Type="http://schemas.openxmlformats.org/officeDocument/2006/relationships/hyperlink" Id="rId63" Target="https://www.frontiersin.org/journals/psychology/articles/10.3389/fpsyg.2021.765750/full" TargetMode="External" /><Relationship Type="http://schemas.openxmlformats.org/officeDocument/2006/relationships/hyperlink" Id="rId55" Target="https://www.fz-juelich.de/de/aktuelles/news/pressemitteilungen/2024/kreatin-verbessert-die-kognitive-leistungsfaehigkeit-bei-schlafmangel" TargetMode="External" /><Relationship Type="http://schemas.openxmlformats.org/officeDocument/2006/relationships/hyperlink" Id="rId21" Target="https://www.ifado.de/en/newsroom/news/sleep-deprivation-affects-cognitive-performance" TargetMode="External" /><Relationship Type="http://schemas.openxmlformats.org/officeDocument/2006/relationships/hyperlink" Id="rId93" Target="https://www.sciencedirect.com/science/article/abs/pii/S0749597809000399" TargetMode="External" /><Relationship Type="http://schemas.openxmlformats.org/officeDocument/2006/relationships/hyperlink" Id="rId72" Target="https://www.sicherearbeit.at/ausgaben/2024/sonderausgabe-1-2024/augengesundheit-bei-der-bildschirmarbeit" TargetMode="External" /><Relationship Type="http://schemas.openxmlformats.org/officeDocument/2006/relationships/hyperlink" Id="rId96" Target="https://www.spektrum.de/news/arbeitspsychologie-warum-pausen-wichtig-sind/1750572" TargetMode="External" /><Relationship Type="http://schemas.openxmlformats.org/officeDocument/2006/relationships/hyperlink" Id="rId11" Target="https://www.ucl.ac.uk/news/2024/dec/short-term-cognitive-boost-exercise-may-last-24-hours" TargetMode="External" /><Relationship Type="http://schemas.openxmlformats.org/officeDocument/2006/relationships/hyperlink" Id="rId77" Target="https://wzb.eu/de/news/in-waermeren-raeumen-sind-frauen-leistungsfaehiger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107" Target="https://deep-research.leon.fm" TargetMode="External" /><Relationship Type="http://schemas.openxmlformats.org/officeDocument/2006/relationships/hyperlink" Id="rId29" Target="https://journals.plos.org/plosone/article?id=10.1371/journal.pone.0301616" TargetMode="External" /><Relationship Type="http://schemas.openxmlformats.org/officeDocument/2006/relationships/hyperlink" Id="rId40" Target="https://link.springer.com/article/10.1186/s11556-026-00404-2" TargetMode="External" /><Relationship Type="http://schemas.openxmlformats.org/officeDocument/2006/relationships/hyperlink" Id="rId76" Target="https://neurosciencenews.com/temperature-aging-cognition-28353/" TargetMode="External" /><Relationship Type="http://schemas.openxmlformats.org/officeDocument/2006/relationships/hyperlink" Id="rId32" Target="https://news.northeastern.edu/2025/12/19/exercise-benefits-executive-function/" TargetMode="External" /><Relationship Type="http://schemas.openxmlformats.org/officeDocument/2006/relationships/hyperlink" Id="rId91" Target="https://pmc.ncbi.nlm.nih.gov/articles/PMC10683050/" TargetMode="External" /><Relationship Type="http://schemas.openxmlformats.org/officeDocument/2006/relationships/hyperlink" Id="rId54" Target="https://pmc.ncbi.nlm.nih.gov/articles/PMC11275561/" TargetMode="External" /><Relationship Type="http://schemas.openxmlformats.org/officeDocument/2006/relationships/hyperlink" Id="rId100" Target="https://pmc.ncbi.nlm.nih.gov/articles/PMC11543232/" TargetMode="External" /><Relationship Type="http://schemas.openxmlformats.org/officeDocument/2006/relationships/hyperlink" Id="rId37" Target="https://pmc.ncbi.nlm.nih.gov/articles/PMC11810746/" TargetMode="External" /><Relationship Type="http://schemas.openxmlformats.org/officeDocument/2006/relationships/hyperlink" Id="rId102" Target="https://pmc.ncbi.nlm.nih.gov/articles/PMC12292963/" TargetMode="External" /><Relationship Type="http://schemas.openxmlformats.org/officeDocument/2006/relationships/hyperlink" Id="rId45" Target="https://pmc.ncbi.nlm.nih.gov/articles/PMC12368174/" TargetMode="External" /><Relationship Type="http://schemas.openxmlformats.org/officeDocument/2006/relationships/hyperlink" Id="rId57" Target="https://pmc.ncbi.nlm.nih.gov/articles/PMC12466949/" TargetMode="External" /><Relationship Type="http://schemas.openxmlformats.org/officeDocument/2006/relationships/hyperlink" Id="rId65" Target="https://pmc.ncbi.nlm.nih.gov/articles/PMC12502225/" TargetMode="External" /><Relationship Type="http://schemas.openxmlformats.org/officeDocument/2006/relationships/hyperlink" Id="rId25" Target="https://pmc.ncbi.nlm.nih.gov/articles/PMC12528034/" TargetMode="External" /><Relationship Type="http://schemas.openxmlformats.org/officeDocument/2006/relationships/hyperlink" Id="rId103" Target="https://pmc.ncbi.nlm.nih.gov/articles/PMC12532815/" TargetMode="External" /><Relationship Type="http://schemas.openxmlformats.org/officeDocument/2006/relationships/hyperlink" Id="rId35" Target="https://pmc.ncbi.nlm.nih.gov/articles/PMC12788999/" TargetMode="External" /><Relationship Type="http://schemas.openxmlformats.org/officeDocument/2006/relationships/hyperlink" Id="rId12" Target="https://pmc.ncbi.nlm.nih.gov/articles/PMC4892924/" TargetMode="External" /><Relationship Type="http://schemas.openxmlformats.org/officeDocument/2006/relationships/hyperlink" Id="rId90" Target="https://pmc.ncbi.nlm.nih.gov/articles/PMC6430172/" TargetMode="External" /><Relationship Type="http://schemas.openxmlformats.org/officeDocument/2006/relationships/hyperlink" Id="rId68" Target="https://pmc.ncbi.nlm.nih.gov/articles/PMC6746555/" TargetMode="External" /><Relationship Type="http://schemas.openxmlformats.org/officeDocument/2006/relationships/hyperlink" Id="rId15" Target="https://pmc.ncbi.nlm.nih.gov/articles/PMC7075496/" TargetMode="External" /><Relationship Type="http://schemas.openxmlformats.org/officeDocument/2006/relationships/hyperlink" Id="rId87" Target="https://pmc.ncbi.nlm.nih.gov/articles/PMC7560162/" TargetMode="External" /><Relationship Type="http://schemas.openxmlformats.org/officeDocument/2006/relationships/hyperlink" Id="rId81" Target="https://pmc.ncbi.nlm.nih.gov/articles/PMC8470111/" TargetMode="External" /><Relationship Type="http://schemas.openxmlformats.org/officeDocument/2006/relationships/hyperlink" Id="rId98" Target="https://pmc.ncbi.nlm.nih.gov/articles/PMC8507757/" TargetMode="External" /><Relationship Type="http://schemas.openxmlformats.org/officeDocument/2006/relationships/hyperlink" Id="rId67" Target="https://pmc.ncbi.nlm.nih.gov/articles/PMC8810929/" TargetMode="External" /><Relationship Type="http://schemas.openxmlformats.org/officeDocument/2006/relationships/hyperlink" Id="rId62" Target="https://pmc.ncbi.nlm.nih.gov/articles/PMC8848614/" TargetMode="External" /><Relationship Type="http://schemas.openxmlformats.org/officeDocument/2006/relationships/hyperlink" Id="rId60" Target="https://pmc.ncbi.nlm.nih.gov/articles/PMC8929548/" TargetMode="External" /><Relationship Type="http://schemas.openxmlformats.org/officeDocument/2006/relationships/hyperlink" Id="rId80" Target="https://pmc.ncbi.nlm.nih.gov/articles/PMC9953392/" TargetMode="External" /><Relationship Type="http://schemas.openxmlformats.org/officeDocument/2006/relationships/hyperlink" Id="rId79" Target="https://pubmed.ncbi.nlm.nih.gov/10751106/" TargetMode="External" /><Relationship Type="http://schemas.openxmlformats.org/officeDocument/2006/relationships/hyperlink" Id="rId9" Target="https://pubmed.ncbi.nlm.nih.gov/12683469/" TargetMode="External" /><Relationship Type="http://schemas.openxmlformats.org/officeDocument/2006/relationships/hyperlink" Id="rId42" Target="https://pubmed.ncbi.nlm.nih.gov/24749966/" TargetMode="External" /><Relationship Type="http://schemas.openxmlformats.org/officeDocument/2006/relationships/hyperlink" Id="rId19" Target="https://pubmed.ncbi.nlm.nih.gov/26847980/" TargetMode="External" /><Relationship Type="http://schemas.openxmlformats.org/officeDocument/2006/relationships/hyperlink" Id="rId50" Target="https://pubmed.ncbi.nlm.nih.gov/29933347/" TargetMode="External" /><Relationship Type="http://schemas.openxmlformats.org/officeDocument/2006/relationships/hyperlink" Id="rId47" Target="https://pubmed.ncbi.nlm.nih.gov/39797935/" TargetMode="External" /><Relationship Type="http://schemas.openxmlformats.org/officeDocument/2006/relationships/hyperlink" Id="rId10" Target="https://pubmed.ncbi.nlm.nih.gov/39883421/" TargetMode="External" /><Relationship Type="http://schemas.openxmlformats.org/officeDocument/2006/relationships/hyperlink" Id="rId24" Target="https://pubmed.ncbi.nlm.nih.gov/40293205/" TargetMode="External" /><Relationship Type="http://schemas.openxmlformats.org/officeDocument/2006/relationships/hyperlink" Id="rId14" Target="https://pubmed.ncbi.nlm.nih.gov/40335666/" TargetMode="External" /><Relationship Type="http://schemas.openxmlformats.org/officeDocument/2006/relationships/hyperlink" Id="rId27" Target="https://pubmed.ncbi.nlm.nih.gov/41259946/" TargetMode="External" /><Relationship Type="http://schemas.openxmlformats.org/officeDocument/2006/relationships/hyperlink" Id="rId94" Target="https://pubmed.ncbi.nlm.nih.gov/7669837/" TargetMode="External" /><Relationship Type="http://schemas.openxmlformats.org/officeDocument/2006/relationships/hyperlink" Id="rId85" Target="https://speakwiseapp.com/blog/workplace-noise-statistics" TargetMode="External" /><Relationship Type="http://schemas.openxmlformats.org/officeDocument/2006/relationships/hyperlink" Id="rId52" Target="https://www.apa.org/pubs/journals/releases/bul-bul0000492.pdf" TargetMode="External" /><Relationship Type="http://schemas.openxmlformats.org/officeDocument/2006/relationships/hyperlink" Id="rId13" Target="https://www.baua.de/DE/Forschung/Forschungsprojekte/f2449.html" TargetMode="External" /><Relationship Type="http://schemas.openxmlformats.org/officeDocument/2006/relationships/hyperlink" Id="rId70" Target="https://www.cochranelibrary.com/cdsr/doi/10.1002/14651858.CD013244.pub2/full" TargetMode="External" /><Relationship Type="http://schemas.openxmlformats.org/officeDocument/2006/relationships/hyperlink" Id="rId83" Target="https://www.dguv.de/ifa/praxishilfen/innenraumarbeitsplaetze/raumluftqualitaet/index.jsp" TargetMode="External" /><Relationship Type="http://schemas.openxmlformats.org/officeDocument/2006/relationships/hyperlink" Id="rId34" Target="https://www.frontiersin.org/journals/aging-neuroscience/articles/10.3389/fnagi.2025.1510773/full" TargetMode="External" /><Relationship Type="http://schemas.openxmlformats.org/officeDocument/2006/relationships/hyperlink" Id="rId17" Target="https://www.frontiersin.org/journals/behavioral-neuroscience/articles/10.3389/fnbeh.2025.1620544/full" TargetMode="External" /><Relationship Type="http://schemas.openxmlformats.org/officeDocument/2006/relationships/hyperlink" Id="rId71" Target="https://www.frontiersin.org/journals/neurology/articles/10.3389/fneur.2025.1699303/full" TargetMode="External" /><Relationship Type="http://schemas.openxmlformats.org/officeDocument/2006/relationships/hyperlink" Id="rId22" Target="https://www.frontiersin.org/journals/neuroscience/articles/10.3389/fnins.2025.1559969/full" TargetMode="External" /><Relationship Type="http://schemas.openxmlformats.org/officeDocument/2006/relationships/hyperlink" Id="rId39" Target="https://www.frontiersin.org/journals/psychiatry/articles/10.3389/fpsyt.2024.1436499/full" TargetMode="External" /><Relationship Type="http://schemas.openxmlformats.org/officeDocument/2006/relationships/hyperlink" Id="rId63" Target="https://www.frontiersin.org/journals/psychology/articles/10.3389/fpsyg.2021.765750/full" TargetMode="External" /><Relationship Type="http://schemas.openxmlformats.org/officeDocument/2006/relationships/hyperlink" Id="rId55" Target="https://www.fz-juelich.de/de/aktuelles/news/pressemitteilungen/2024/kreatin-verbessert-die-kognitive-leistungsfaehigkeit-bei-schlafmangel" TargetMode="External" /><Relationship Type="http://schemas.openxmlformats.org/officeDocument/2006/relationships/hyperlink" Id="rId21" Target="https://www.ifado.de/en/newsroom/news/sleep-deprivation-affects-cognitive-performance" TargetMode="External" /><Relationship Type="http://schemas.openxmlformats.org/officeDocument/2006/relationships/hyperlink" Id="rId93" Target="https://www.sciencedirect.com/science/article/abs/pii/S0749597809000399" TargetMode="External" /><Relationship Type="http://schemas.openxmlformats.org/officeDocument/2006/relationships/hyperlink" Id="rId72" Target="https://www.sicherearbeit.at/ausgaben/2024/sonderausgabe-1-2024/augengesundheit-bei-der-bildschirmarbeit" TargetMode="External" /><Relationship Type="http://schemas.openxmlformats.org/officeDocument/2006/relationships/hyperlink" Id="rId96" Target="https://www.spektrum.de/news/arbeitspsychologie-warum-pausen-wichtig-sind/1750572" TargetMode="External" /><Relationship Type="http://schemas.openxmlformats.org/officeDocument/2006/relationships/hyperlink" Id="rId11" Target="https://www.ucl.ac.uk/news/2024/dec/short-term-cognitive-boost-exercise-may-last-24-hours" TargetMode="External" /><Relationship Type="http://schemas.openxmlformats.org/officeDocument/2006/relationships/hyperlink" Id="rId77" Target="https://wzb.eu/de/news/in-waermeren-raeumen-sind-frauen-leistungsfaehiger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Die Wissenschaft hinter kognitiver Höchstleistung</dc:title>
  <dc:creator/>
  <cp:keywords/>
  <dcterms:created xsi:type="dcterms:W3CDTF">2026-04-01T18:19:59Z</dcterms:created>
  <dcterms:modified xsi:type="dcterms:W3CDTF">2026-04-01T18:19:59Z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2026-04-01</vt:lpwstr>
  </property>
  <property fmtid="{D5CDD505-2E9C-101B-9397-08002B2CF9AE}" pid="3" name="depth">
    <vt:lpwstr>Deeper</vt:lpwstr>
  </property>
  <property fmtid="{D5CDD505-2E9C-101B-9397-08002B2CF9AE}" pid="4" name="sources">
    <vt:lpwstr>55</vt:lpwstr>
  </property>
</Properties>
</file>