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[JUDICIAL MAGISTRATE FIRST CLASS], [PLACE]</w:t>
      </w:r>
    </w:p>
    <w:p>
      <w:pPr>
        <w:keepNext/>
        <w:keepLines/>
        <w:jc w:val="center"/>
      </w:pPr>
      <w:r>
        <w:rPr>
          <w:b w:val="0"/>
        </w:rPr>
        <w:t>Complaint / Application No. ____ of 20__</w:t>
      </w:r>
    </w:p>
    <w:p>
      <w:pPr>
        <w:keepNext/>
        <w:keepLines/>
      </w:pPr>
      <w:r>
        <w:rPr>
          <w:b/>
        </w:rPr>
        <w:t>MEMO OF PARTIES</w:t>
      </w:r>
    </w:p>
    <w:p>
      <w:pPr>
        <w:keepNext w:val="0"/>
        <w:keepLines/>
      </w:pPr>
      <w:r>
        <w:rPr>
          <w:b w:val="0"/>
        </w:rPr>
        <w:t>[NAME OF AGGRIEVED PERSON], [S/o / D/o / W/o] [NAME OF FATHER / HUSBAND], aged about [__] years, resident of [FULL ADDRESS WITH PIN CODE]… Aggrieved Person / Applicant</w:t>
      </w:r>
    </w:p>
    <w:p>
      <w:pPr>
        <w:keepNext w:val="0"/>
        <w:keepLines/>
      </w:pPr>
      <w:r>
        <w:rPr>
          <w:b w:val="0"/>
        </w:rPr>
        <w:t>1. [NAME OF RESPONDENT No. 1], [S/o / D/o / W/o] [NAME OF FATHER / HUSBAND], aged about [__] years, resident of [FULL ADDRESS WITH PIN CODE]; 2. [NAME OF RESPONDENT No. 2, if any], [PARTICULARS]… Respondent(s)</w:t>
      </w:r>
    </w:p>
    <w:p>
      <w:pPr>
        <w:keepNext/>
        <w:keepLines/>
        <w:jc w:val="center"/>
      </w:pPr>
      <w:r>
        <w:rPr>
          <w:b/>
        </w:rPr>
        <w:t>APPLICATION UNDER SECTION 12 OF THE PROTECTION OF WOMEN FROM DOMESTIC VIOLENCE ACT, 2005 FOR RELIEFS UNDER SECTIONS 18, 19, 20, 21 AND 22 OF THE ACT</w:t>
      </w:r>
    </w:p>
    <w:p>
      <w:pPr>
        <w:keepNext w:val="0"/>
        <w:keepLines/>
      </w:pPr>
      <w:r>
        <w:rPr>
          <w:b w:val="0"/>
        </w:rPr>
        <w:t>Respectfully showeth:</w:t>
      </w:r>
    </w:p>
    <w:p>
      <w:pPr>
        <w:keepNext w:val="0"/>
        <w:keepLines/>
        <w:ind w:left="283" w:hanging="283"/>
      </w:pPr>
      <w:r>
        <w:rPr>
          <w:b w:val="0"/>
        </w:rPr>
        <w:t>1. That the applicant is an aggrieved person within the meaning of Section 2(a) of the Act. She is / was in a domestic relationship with the respondent(s) as [WIFE / DAUGHTER-IN-LAW / OTHER], and lived with them in the shared household at [ADDRESS].</w:t>
      </w:r>
    </w:p>
    <w:p>
      <w:pPr>
        <w:keepNext w:val="0"/>
        <w:keepLines/>
        <w:ind w:left="283" w:hanging="283"/>
      </w:pPr>
      <w:r>
        <w:rPr>
          <w:b w:val="0"/>
        </w:rPr>
        <w:t>2. That the respondent(s) subjected the applicant to domestic violence within the meaning of Section 3 of the Act, namely [PHYSICAL / SEXUAL / VERBAL AND EMOTIONAL / ECONOMIC ABUSE]. The specific incidents are: (a) on [DATE], [INCIDENT]; (b) on [DATE], [INCIDENT]; (c) [__].</w:t>
      </w:r>
    </w:p>
    <w:p>
      <w:pPr>
        <w:keepNext w:val="0"/>
        <w:keepLines/>
        <w:ind w:left="283" w:hanging="283"/>
      </w:pPr>
      <w:r>
        <w:rPr>
          <w:b w:val="0"/>
        </w:rPr>
        <w:t>3. That [a Domestic Incident Report was prepared by the Protection Officer on __ / the applicant approached __ on __] (Annexure A-__).</w:t>
      </w:r>
    </w:p>
    <w:p>
      <w:pPr>
        <w:keepNext w:val="0"/>
        <w:keepLines/>
        <w:ind w:left="283" w:hanging="283"/>
      </w:pPr>
      <w:r>
        <w:rPr>
          <w:b w:val="0"/>
        </w:rPr>
        <w:t>4. That the applicant has [been dispossessed from the shared household on __ / is apprehensive of dispossession], and has no means to maintain herself [and the child(ren)].</w:t>
      </w:r>
    </w:p>
    <w:p>
      <w:pPr>
        <w:keepNext w:val="0"/>
        <w:keepLines/>
        <w:ind w:left="283" w:hanging="283"/>
      </w:pPr>
      <w:r>
        <w:rPr>
          <w:b w:val="0"/>
        </w:rPr>
        <w:t>5. That this Court has jurisdiction under Section 27 of the Act, as the applicant [permanently or temporarily resides / the respondent resides / the cause of action arose] at [PLACE].</w:t>
      </w:r>
    </w:p>
    <w:p>
      <w:pPr>
        <w:keepNext w:val="0"/>
        <w:keepLines/>
        <w:ind w:left="283" w:hanging="283"/>
      </w:pPr>
      <w:r>
        <w:rPr>
          <w:b w:val="0"/>
        </w:rPr>
        <w:t>6. That [no other proceedings are pending / the following proceedings are pending between the parties: __].</w:t>
      </w:r>
    </w:p>
    <w:p>
      <w:pPr>
        <w:keepNext w:val="0"/>
        <w:keepLines/>
        <w:ind w:left="283" w:hanging="283"/>
      </w:pPr>
      <w:r>
        <w:rPr>
          <w:b w:val="0"/>
        </w:rPr>
        <w:t>7. That the domestic relationship and shared household are established by [relationship, periods of co-residence and address], supported by [records]. For each respondent, the relationship and particular acts alleged are separately stated.</w:t>
      </w:r>
    </w:p>
    <w:p>
      <w:pPr>
        <w:keepNext w:val="0"/>
        <w:keepLines/>
        <w:ind w:left="283" w:hanging="283"/>
      </w:pPr>
      <w:r>
        <w:rPr>
          <w:b w:val="0"/>
        </w:rPr>
        <w:t>8. That the incidents are particularised chronologically: [date, place, respondent, physical / sexual / verbal / emotional / economic abuse, witness or record]. Continuing deprivation, threats or exclusion are [specific current facts].</w:t>
      </w:r>
    </w:p>
    <w:p>
      <w:pPr>
        <w:keepNext w:val="0"/>
        <w:keepLines/>
        <w:ind w:left="283" w:hanging="283"/>
      </w:pPr>
      <w:r>
        <w:rPr>
          <w:b w:val="0"/>
        </w:rPr>
        <w:t>9. That the applicant’s residence and the cause of action bring the matter within Section 27 because [actual facts]. The Domestic Incident Report is [available and annexed / requested / not received]; its status is disclosed accurately.</w:t>
      </w:r>
    </w:p>
    <w:p>
      <w:pPr>
        <w:keepNext w:val="0"/>
        <w:keepLines/>
        <w:ind w:left="283" w:hanging="283"/>
      </w:pPr>
      <w:r>
        <w:rPr>
          <w:b w:val="0"/>
        </w:rPr>
        <w:t>10. That protection is sought against [identified conduct] under Section 18, and residence relief under Section 19 concerns [identified household, possession, exclusion and suitable precise direction]. Ownership of the household and competing rights are disclosed as [ ].</w:t>
      </w:r>
    </w:p>
    <w:p>
      <w:pPr>
        <w:keepNext w:val="0"/>
        <w:keepLines/>
        <w:ind w:left="283" w:hanging="283"/>
      </w:pPr>
      <w:r>
        <w:rPr>
          <w:b w:val="0"/>
        </w:rPr>
        <w:t>11. That monetary relief under Section 20 is itemised as [maintenance, loss of earnings, medical expenses, property loss], with supporting records; compensation under Section 22 rests on [injury and particulars]. Custody/visitation relief under Section 21, if needed, is justified by [child-welfare facts].</w:t>
      </w:r>
    </w:p>
    <w:p>
      <w:pPr>
        <w:keepNext w:val="0"/>
        <w:keepLines/>
        <w:ind w:left="283" w:hanging="283"/>
      </w:pPr>
      <w:r>
        <w:rPr>
          <w:b w:val="0"/>
        </w:rPr>
        <w:t>12. That the urgency for interim or ex parte relief under Section 23 is [imminent risk, dates and proof]. Where seeking an ex parte order, the affidavit in the prescribed form is separately supplied. Earlier civil, criminal and maintenance orders and payments are [schedule].</w:t>
      </w:r>
    </w:p>
    <w:p>
      <w:pPr>
        <w:keepNext w:val="0"/>
        <w:keepLines/>
        <w:ind w:left="283" w:hanging="283"/>
      </w:pPr>
      <w:r>
        <w:rPr>
          <w:b w:val="0"/>
        </w:rPr>
        <w:t>13. That [OPTIONAL: retain only after verifying the cited rule and these facts] [for maintenance relief only] earlier awards and sums received are [schedule]. Applying the overlapping-maintenance directions in Rajnesh v. Neha, adjustment is sought as [calculation], without treating that decision as proof of the separately pleaded domestic violence.</w:t>
      </w:r>
    </w:p>
    <w:p>
      <w:pPr>
        <w:keepNext/>
        <w:keepLines/>
      </w:pPr>
      <w:r>
        <w:rPr>
          <w:b/>
        </w:rPr>
        <w:t>PRAYER</w:t>
      </w:r>
    </w:p>
    <w:p>
      <w:pPr>
        <w:keepNext w:val="0"/>
        <w:keepLines/>
      </w:pPr>
      <w:r>
        <w:rPr>
          <w:b w:val="0"/>
        </w:rPr>
        <w:t>It is, therefore, respectfully prayed that this Hon'ble Court may kindly grant: (a) a protection order under Section 18; (b) a residence order under Section 19; (c) monetary relief of ₹[__] per month and [OTHER EXPENSES] under Section 20; (d) temporary custody of the child(ren) under Section 21; (e) compensation of ₹[__] under Section 22; and (f) interim and ex parte orders under Section 23 of the Act, along with any other relief this Hon'ble Court deems fit.</w:t>
      </w:r>
    </w:p>
    <w:p>
      <w:pPr>
        <w:keepNext/>
        <w:keepLines/>
      </w:pPr>
      <w:r>
        <w:rPr>
          <w:b w:val="0"/>
        </w:rPr>
        <w:t>Place: [PLACE]    Date: [DATE]</w:t>
        <w:br/>
        <w:t>AGGRIEVED PERSON / APPLICANTThrough [NAME OF ADVOCATE]AdvocateEnrolment No. [__]</w:t>
      </w:r>
    </w:p>
    <w:p>
      <w:pPr>
        <w:keepNext/>
        <w:keepLines/>
      </w:pPr>
      <w:r>
        <w:rPr>
          <w:b/>
        </w:rPr>
        <w:t>VERIFICATION</w:t>
      </w:r>
    </w:p>
    <w:p>
      <w:pPr>
        <w:keepNext/>
        <w:keepLines/>
      </w:pPr>
      <w:r>
        <w:rPr>
          <w:b w:val="0"/>
        </w:rPr>
        <w:t>Verified at [PLACE] on [DATE] that the contents of paragraphs 1 to [__] of the above application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APPLICANT</w:t>
      </w:r>
    </w:p>
    <w:p>
      <w:pPr>
        <w:keepNext/>
        <w:keepLines/>
        <w:pageBreakBefore/>
        <w:jc w:val="center"/>
      </w:pPr>
      <w:r>
        <w:rPr>
          <w:b/>
        </w:rPr>
        <w:t>IN THE COURT OF [JUDICIAL MAGISTRATE FIRST CLASS], [PLACE]</w:t>
      </w:r>
    </w:p>
    <w:p>
      <w:pPr>
        <w:keepNext/>
        <w:keepLines/>
        <w:jc w:val="center"/>
      </w:pPr>
      <w:r>
        <w:rPr>
          <w:b w:val="0"/>
        </w:rPr>
        <w:t>Complaint / Application No. ____ of 20__</w:t>
      </w:r>
    </w:p>
    <w:p>
      <w:pPr>
        <w:keepNext w:val="0"/>
        <w:keepLines/>
      </w:pPr>
      <w:r>
        <w:rPr>
          <w:b w:val="0"/>
        </w:rPr>
        <w:t>[NAME OF AGGRIEVED PERSON]… Aggrieved Person</w:t>
      </w:r>
    </w:p>
    <w:p>
      <w:pPr>
        <w:keepNext/>
        <w:keepLines/>
        <w:jc w:val="center"/>
      </w:pPr>
      <w:r>
        <w:rPr>
          <w:b w:val="0"/>
        </w:rPr>
        <w:t>Versus</w:t>
      </w:r>
    </w:p>
    <w:p>
      <w:pPr>
        <w:keepNext w:val="0"/>
        <w:keepLines/>
      </w:pPr>
      <w:r>
        <w:rPr>
          <w:b w:val="0"/>
        </w:rPr>
        <w:t>[NAME OF RESPONDENT(S)]… Respondent(s)</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Tie each requested direction to the respondent’s conduct and the statutory relief. A two-paragraph general supporting affidavit does not substitute for the prescribed Section 23(2) affidavit or financial disclosures. Adjust overlapping maintenance awards.</w:t>
      </w:r>
    </w:p>
    <w:p>
      <w:pPr>
        <w:keepNext w:val="0"/>
        <w:keepLines/>
      </w:pPr>
      <w:r>
        <w:rPr>
          <w:b w:val="0"/>
          <w:sz w:val="22"/>
        </w:rPr>
        <w:t>Fact-specific authority. Rajnesh v. Neha, (2021) 2 SCC 324; 4 November 2020, overlapping-maintenance directions. For the monetary-maintenance component, disclose previous orders and receipts so the Court can adjust overlapping awards. This authority does not by itself prove domestic violence or establish a residence entitlement. Read the judgment</w:t>
        <w:br/>
        <w:t>Source: https://indiankanoon.org/doc/117541087/</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