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val="0"/>
        </w:rPr>
        <w:t>Next date of hearing: [DATE]</w:t>
      </w:r>
    </w:p>
    <w:p>
      <w:pPr>
        <w:keepNext/>
        <w:keepLines/>
        <w:jc w:val="center"/>
      </w:pPr>
      <w:r>
        <w:rPr>
          <w:b/>
        </w:rPr>
        <w:t>APPLICATION UNDER ORDER XXXIX RULES 1 AND 2 READ WITH SECTION 151 CPC FOR THE GRANT OF A TEMPORARY INJUNCTION DURING THE PENDENCY OF THE SUIT</w:t>
      </w:r>
    </w:p>
    <w:p>
      <w:pPr>
        <w:keepNext w:val="0"/>
        <w:keepLines/>
      </w:pPr>
      <w:r>
        <w:rPr>
          <w:b w:val="0"/>
        </w:rPr>
        <w:t>Respectfully showeth:</w:t>
      </w:r>
    </w:p>
    <w:p>
      <w:pPr>
        <w:keepNext w:val="0"/>
        <w:keepLines/>
        <w:ind w:left="283" w:hanging="283"/>
      </w:pPr>
      <w:r>
        <w:rPr>
          <w:b w:val="0"/>
        </w:rPr>
        <w:t>1. That the plaintiff / applicant has filed the accompanying suit for [RELIEF], the contents of which may be read as part of this application.</w:t>
      </w:r>
    </w:p>
    <w:p>
      <w:pPr>
        <w:keepNext w:val="0"/>
        <w:keepLines/>
        <w:ind w:left="283" w:hanging="283"/>
      </w:pPr>
      <w:r>
        <w:rPr>
          <w:b w:val="0"/>
        </w:rPr>
        <w:t>2. That the applicant has a prima facie case, as [STATE BRIEFLY — title, possession, documents].</w:t>
      </w:r>
    </w:p>
    <w:p>
      <w:pPr>
        <w:keepNext w:val="0"/>
        <w:keepLines/>
        <w:ind w:left="283" w:hanging="283"/>
      </w:pPr>
      <w:r>
        <w:rPr>
          <w:b w:val="0"/>
        </w:rPr>
        <w:t>3. That the balance of convenience lies in favour of the applicant, as [REASON].</w:t>
      </w:r>
    </w:p>
    <w:p>
      <w:pPr>
        <w:keepNext w:val="0"/>
        <w:keepLines/>
        <w:ind w:left="283" w:hanging="283"/>
      </w:pPr>
      <w:r>
        <w:rPr>
          <w:b w:val="0"/>
        </w:rPr>
        <w:t>4. That the applicant will suffer irreparable loss and injury, which cannot be compensated in money, if the defendant is not restrained from [ACT] during the pendency of the suit.</w:t>
      </w:r>
    </w:p>
    <w:p>
      <w:pPr>
        <w:keepNext w:val="0"/>
        <w:keepLines/>
        <w:ind w:left="283" w:hanging="283"/>
      </w:pPr>
      <w:r>
        <w:rPr>
          <w:b w:val="0"/>
        </w:rPr>
        <w:t>5. That there is urgency, as [the defendant is likely to __ at any time], and the object of granting the injunction would be defeated by delay. [Ground for ex parte ad interim relief, if sought.]</w:t>
      </w:r>
    </w:p>
    <w:p>
      <w:pPr>
        <w:keepNext w:val="0"/>
        <w:keepLines/>
        <w:ind w:left="283" w:hanging="283"/>
      </w:pPr>
      <w:r>
        <w:rPr>
          <w:b w:val="0"/>
        </w:rPr>
        <w:t>6. That the right requiring protection is [identified right], supported at this stage by [document and facts]. The threatened act is [specific act, date and evidence], concerning [clearly identified property or subject].</w:t>
      </w:r>
    </w:p>
    <w:p>
      <w:pPr>
        <w:keepNext w:val="0"/>
        <w:keepLines/>
        <w:ind w:left="283" w:hanging="283"/>
      </w:pPr>
      <w:r>
        <w:rPr>
          <w:b w:val="0"/>
        </w:rPr>
        <w:t>7. That the prima facie issue arises from [specific disputed fact or legal right], and the applicant’s existing position on the filing date is [possession or other factual position].</w:t>
      </w:r>
    </w:p>
    <w:p>
      <w:pPr>
        <w:keepNext w:val="0"/>
        <w:keepLines/>
        <w:ind w:left="283" w:hanging="283"/>
      </w:pPr>
      <w:r>
        <w:rPr>
          <w:b w:val="0"/>
        </w:rPr>
        <w:t>8. That withholding protection would cause [identified imminent harm] which damages would not adequately repair because [reason]. The opposing party’s likely hardship from the proposed restraint is [assessment].</w:t>
      </w:r>
    </w:p>
    <w:p>
      <w:pPr>
        <w:keepNext w:val="0"/>
        <w:keepLines/>
        <w:ind w:left="283" w:hanging="283"/>
      </w:pPr>
      <w:r>
        <w:rPr>
          <w:b w:val="0"/>
        </w:rPr>
        <w:t>9. That the balance of convenience favours [narrow restraint] because [comparative consequences]. The order sought preserves [subject] and does not effectively grant unsupported final relief.</w:t>
      </w:r>
    </w:p>
    <w:p>
      <w:pPr>
        <w:keepNext w:val="0"/>
        <w:keepLines/>
        <w:ind w:left="283" w:hanging="283"/>
      </w:pPr>
      <w:r>
        <w:rPr>
          <w:b w:val="0"/>
        </w:rPr>
        <w:t>10. That [if ex parte relief is sought] notice would defeat the object because [specific imminent event]; the applicant undertakes prompt compliance with Order XXXIX Rule 3, including supply of papers and the prescribed affidavit of compliance.</w:t>
      </w:r>
    </w:p>
    <w:p>
      <w:pPr>
        <w:keepNext w:val="0"/>
        <w:keepLines/>
        <w:ind w:left="283" w:hanging="283"/>
      </w:pPr>
      <w:r>
        <w:rPr>
          <w:b w:val="0"/>
        </w:rPr>
        <w:t>11. That material adverse facts and earlier interim orders are [full particulars]. The proposed restraint is [exact terms and duration], with a return date and service arrangement.</w:t>
      </w:r>
    </w:p>
    <w:p>
      <w:pPr>
        <w:keepNext w:val="0"/>
        <w:keepLines/>
        <w:ind w:left="283" w:hanging="283"/>
      </w:pPr>
      <w:r>
        <w:rPr>
          <w:b w:val="0"/>
        </w:rPr>
        <w:t>12. That [OPTIONAL: retain only after verifying the cited rule and these facts] the prima facie right [evidence], injury not adequately reparable by damages [facts], and comparative hardship [analysis] satisfy the distinct considerations in Dalpat Kumar. The narrow restraint sought is [terms] and the contrary material is [disclosure and answer].</w:t>
      </w:r>
    </w:p>
    <w:p>
      <w:pPr>
        <w:keepNext/>
        <w:keepLines/>
      </w:pPr>
      <w:r>
        <w:rPr>
          <w:b/>
        </w:rPr>
        <w:t>PRAYER</w:t>
      </w:r>
    </w:p>
    <w:p>
      <w:pPr>
        <w:keepNext w:val="0"/>
        <w:keepLines/>
      </w:pPr>
      <w:r>
        <w:rPr>
          <w:b w:val="0"/>
        </w:rPr>
        <w:t>It is, therefore, respectfully prayed that the defendant, his agents and servants may kindly be restrained by a temporary injunction from [ACT] in respect of [SUIT PROPERTY / SUBJECT MATTER] during the pendency of the suit, and an ex parte ad interim injunction may be granted till the disposal of this application.</w:t>
      </w:r>
    </w:p>
    <w:p>
      <w:pPr>
        <w:keepNext/>
        <w:keepLines/>
      </w:pPr>
      <w:r>
        <w:rPr>
          <w:b w:val="0"/>
        </w:rPr>
        <w:t>Place: [PLACE]    Date: [DATE]</w:t>
        <w:br/>
        <w:t>APPLICANTThrough [NAME OF ADVOCATE]AdvocateEnrolment No. [__]</w:t>
      </w:r>
    </w:p>
    <w:p>
      <w:pPr>
        <w:keepNext w:val="0"/>
        <w:keepLines/>
      </w:pPr>
      <w:r>
        <w:rPr>
          <w:b w:val="0"/>
          <w:sz w:val="20"/>
        </w:rPr>
        <w:t>Note: If an ex parte injunction is granted, comply with Order XXXIX Rule 3 CPC (deliver or send the papers to the opposite party as directed).</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Plead all three requirements with evidence. For an ex parte order give real reasons why notice would defeat the object; comply with Rule 3. An interim mandatory order requires its own stricter analysis.</w:t>
      </w:r>
    </w:p>
    <w:p>
      <w:pPr>
        <w:keepNext w:val="0"/>
        <w:keepLines/>
      </w:pPr>
      <w:r>
        <w:rPr>
          <w:b w:val="0"/>
          <w:sz w:val="22"/>
        </w:rPr>
        <w:t>Fact-specific authority. Dalpat Kumar v. Prahlad Singh, (1992) 1 SCC 719; 16 December 1991, paras 4–5. Connect the prima facie right, uncompensable threatened injury and comparative hardship to the records. A prima facie case alone does not establish entitlement to an injunction. Read the judgment</w:t>
        <w:br/>
        <w:t>Source: https://indiankanoon.org/doc/49480/</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