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400"/>
        <w:jc w:val="center"/>
      </w:pPr>
      <w:r>
        <w:rPr>
          <w:b/>
          <w:bCs/>
          <w:color w:val="1F3864"/>
          <w:sz w:val="36"/>
          <w:szCs w:val="36"/>
        </w:rPr>
        <w:t xml:space="preserve">ZAVA FINANCIAL SERVICES</w:t>
      </w:r>
    </w:p>
    <w:p>
      <w:pPr>
        <w:spacing w:after="100" w:before="0"/>
        <w:jc w:val="center"/>
      </w:pPr>
      <w:r>
        <w:rPr>
          <w:b/>
          <w:bCs/>
          <w:color w:val="1F3864"/>
          <w:sz w:val="28"/>
          <w:szCs w:val="28"/>
        </w:rPr>
        <w:t xml:space="preserve">DATA RETENTION &amp; DISPOSITION POLICY</w:t>
      </w:r>
    </w:p>
    <w:p>
      <w:pPr>
        <w:spacing w:after="400" w:before="0"/>
        <w:jc w:val="center"/>
      </w:pPr>
      <w:r>
        <w:rPr>
          <w:color w:val="666666"/>
          <w:sz w:val="18"/>
          <w:szCs w:val="18"/>
        </w:rPr>
        <w:t xml:space="preserve">Version 2.3  |  Effective Date: March 15, 2025  |  Classification: CONFIDENTIAL</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rPr>
          <w:tblHeader/>
        </w:trPr>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Document Detail</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Value</w:t>
            </w:r>
          </w:p>
        </w:tc>
      </w:tr>
      <w:tr>
        <w:tc>
          <w:tcPr>
            <w:tcBorders>
              <w:top w:val="single" w:color="AAAAAA" w:sz="6"/>
              <w:left w:val="single" w:color="AAAAAA" w:sz="6"/>
              <w:bottom w:val="single" w:color="AAAAAA" w:sz="6"/>
              <w:right w:val="single" w:color="AAAAAA" w:sz="6"/>
            </w:tcBorders>
          </w:tcPr>
          <w:p>
            <w:r>
              <w:rPr>
                <w:sz w:val="18"/>
                <w:szCs w:val="18"/>
              </w:rPr>
              <w:t xml:space="preserve">Document Owner</w:t>
            </w:r>
          </w:p>
        </w:tc>
        <w:tc>
          <w:tcPr>
            <w:tcBorders>
              <w:top w:val="single" w:color="AAAAAA" w:sz="6"/>
              <w:left w:val="single" w:color="AAAAAA" w:sz="6"/>
              <w:bottom w:val="single" w:color="AAAAAA" w:sz="6"/>
              <w:right w:val="single" w:color="AAAAAA" w:sz="6"/>
            </w:tcBorders>
          </w:tcPr>
          <w:p>
            <w:r>
              <w:rPr>
                <w:sz w:val="18"/>
                <w:szCs w:val="18"/>
              </w:rPr>
              <w:t xml:space="preserve">Dana Olufsen, Chief Compliance Officer</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Approved By</w:t>
            </w:r>
          </w:p>
        </w:tc>
        <w:tc>
          <w:tcPr>
            <w:tcBorders>
              <w:top w:val="single" w:color="AAAAAA" w:sz="6"/>
              <w:left w:val="single" w:color="AAAAAA" w:sz="6"/>
              <w:bottom w:val="single" w:color="AAAAAA" w:sz="6"/>
              <w:right w:val="single" w:color="AAAAAA" w:sz="6"/>
            </w:tcBorders>
            <w:shd w:fill="F7F7F7" w:val="clear"/>
          </w:tcPr>
          <w:p>
            <w:r>
              <w:rPr>
                <w:sz w:val="18"/>
                <w:szCs w:val="18"/>
              </w:rPr>
              <w:t xml:space="preserve">Executive Risk Committee</w:t>
            </w:r>
          </w:p>
        </w:tc>
      </w:tr>
      <w:tr>
        <w:tc>
          <w:tcPr>
            <w:tcBorders>
              <w:top w:val="single" w:color="AAAAAA" w:sz="6"/>
              <w:left w:val="single" w:color="AAAAAA" w:sz="6"/>
              <w:bottom w:val="single" w:color="AAAAAA" w:sz="6"/>
              <w:right w:val="single" w:color="AAAAAA" w:sz="6"/>
            </w:tcBorders>
          </w:tcPr>
          <w:p>
            <w:r>
              <w:rPr>
                <w:sz w:val="18"/>
                <w:szCs w:val="18"/>
              </w:rPr>
              <w:t xml:space="preserve">Approval Date</w:t>
            </w:r>
          </w:p>
        </w:tc>
        <w:tc>
          <w:tcPr>
            <w:tcBorders>
              <w:top w:val="single" w:color="AAAAAA" w:sz="6"/>
              <w:left w:val="single" w:color="AAAAAA" w:sz="6"/>
              <w:bottom w:val="single" w:color="AAAAAA" w:sz="6"/>
              <w:right w:val="single" w:color="AAAAAA" w:sz="6"/>
            </w:tcBorders>
          </w:tcPr>
          <w:p>
            <w:r>
              <w:rPr>
                <w:sz w:val="18"/>
                <w:szCs w:val="18"/>
              </w:rPr>
              <w:t xml:space="preserve">March 12, 2025</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Next Review Date</w:t>
            </w:r>
          </w:p>
        </w:tc>
        <w:tc>
          <w:tcPr>
            <w:tcBorders>
              <w:top w:val="single" w:color="AAAAAA" w:sz="6"/>
              <w:left w:val="single" w:color="AAAAAA" w:sz="6"/>
              <w:bottom w:val="single" w:color="AAAAAA" w:sz="6"/>
              <w:right w:val="single" w:color="AAAAAA" w:sz="6"/>
            </w:tcBorders>
            <w:shd w:fill="F7F7F7" w:val="clear"/>
          </w:tcPr>
          <w:p>
            <w:r>
              <w:rPr>
                <w:sz w:val="18"/>
                <w:szCs w:val="18"/>
              </w:rPr>
              <w:t xml:space="preserve">March 2026</w:t>
            </w:r>
          </w:p>
        </w:tc>
      </w:tr>
      <w:tr>
        <w:tc>
          <w:tcPr>
            <w:tcBorders>
              <w:top w:val="single" w:color="AAAAAA" w:sz="6"/>
              <w:left w:val="single" w:color="AAAAAA" w:sz="6"/>
              <w:bottom w:val="single" w:color="AAAAAA" w:sz="6"/>
              <w:right w:val="single" w:color="AAAAAA" w:sz="6"/>
            </w:tcBorders>
          </w:tcPr>
          <w:p>
            <w:r>
              <w:rPr>
                <w:sz w:val="18"/>
                <w:szCs w:val="18"/>
              </w:rPr>
              <w:t xml:space="preserve">Version History</w:t>
            </w:r>
          </w:p>
        </w:tc>
        <w:tc>
          <w:tcPr>
            <w:tcBorders>
              <w:top w:val="single" w:color="AAAAAA" w:sz="6"/>
              <w:left w:val="single" w:color="AAAAAA" w:sz="6"/>
              <w:bottom w:val="single" w:color="AAAAAA" w:sz="6"/>
              <w:right w:val="single" w:color="AAAAAA" w:sz="6"/>
            </w:tcBorders>
          </w:tcPr>
          <w:p>
            <w:r>
              <w:rPr>
                <w:sz w:val="18"/>
                <w:szCs w:val="18"/>
              </w:rPr>
              <w:t xml:space="preserve">v1.0 (2019), v2.0 (2022), v2.1 (2023), v2.2 (2024), v2.3 (2025)</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Applicable Regulations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GLBA, CCPA, SOX Section 802, ISO 27001 A.8.3</w:t>
            </w:r>
          </w:p>
        </w:tc>
      </w:tr>
    </w:tbl>
    <w:p>
      <w:pPr>
        <w:spacing w:after="60" w:before="60"/>
      </w:pPr>
      <w:r>
        <w:t xml:space="preserve"/>
      </w:r>
    </w:p>
    <w:p>
      <w:pPr>
        <w:pStyle w:val="Heading1"/>
        <w:spacing w:after="100" w:before="280"/>
      </w:pPr>
      <w:r>
        <w:rPr>
          <w:b/>
          <w:bCs/>
          <w:color w:val="1F3864"/>
          <w:sz w:val="28"/>
          <w:szCs w:val="28"/>
        </w:rPr>
        <w:t xml:space="preserve">1. Purpose and Scope</w:t>
      </w:r>
    </w:p>
    <w:p>
      <w:pPr>
        <w:spacing w:after="100" w:before="60"/>
      </w:pPr>
      <w:r>
        <w:rPr>
          <w:sz w:val="20"/>
          <w:szCs w:val="20"/>
        </w:rPr>
        <w:t xml:space="preserve">This policy establishes mandatory requirements for the retention, management, and disposition of records and data created, received, or maintained by Zava Financial Services ("Zava") in the course of its business operations. This policy applies to all employees, contractors, vendors, and third parties who create or handle Zava information assets.</w:t>
      </w:r>
    </w:p>
    <w:p>
      <w:pPr>
        <w:spacing w:after="100" w:before="60"/>
      </w:pPr>
      <w:r>
        <w:rPr>
          <w:sz w:val="20"/>
          <w:szCs w:val="20"/>
        </w:rPr>
        <w:t xml:space="preserve">Proper records management is a legal obligation, a fiduciary duty to customers, and a foundational element of Zava's information security program. This policy ensures that Zava retains information for as long as legally or operationally required, and securely disposes of it when retention obligations have been met.</w:t>
      </w:r>
    </w:p>
    <w:p>
      <w:pPr>
        <w:spacing w:after="60" w:before="60"/>
      </w:pPr>
      <w:r>
        <w:t xml:space="preserve"/>
      </w:r>
    </w:p>
    <w:p>
      <w:pPr>
        <w:pStyle w:val="Heading1"/>
        <w:spacing w:after="100" w:before="280"/>
      </w:pPr>
      <w:r>
        <w:rPr>
          <w:b/>
          <w:bCs/>
          <w:color w:val="1F3864"/>
          <w:sz w:val="28"/>
          <w:szCs w:val="28"/>
        </w:rPr>
        <w:t xml:space="preserve">2. Regulatory Framework</w:t>
      </w:r>
    </w:p>
    <w:p>
      <w:pPr>
        <w:spacing w:after="100" w:before="60"/>
      </w:pPr>
      <w:r>
        <w:rPr>
          <w:sz w:val="20"/>
          <w:szCs w:val="20"/>
        </w:rPr>
        <w:t xml:space="preserve">Zava operates as a registered financial services firm subject to the following retention requirements:</w:t>
      </w:r>
    </w:p>
    <w:p>
      <w:pPr>
        <w:spacing w:after="60" w:before="60"/>
      </w:pPr>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Regulation</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Retention Requirement</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Applicable Data Types</w:t>
            </w:r>
          </w:p>
        </w:tc>
      </w:tr>
      <w:tr>
        <w:tc>
          <w:tcPr>
            <w:tcBorders>
              <w:top w:val="single" w:color="AAAAAA" w:sz="6"/>
              <w:left w:val="single" w:color="AAAAAA" w:sz="6"/>
              <w:bottom w:val="single" w:color="AAAAAA" w:sz="6"/>
              <w:right w:val="single" w:color="AAAAAA" w:sz="6"/>
            </w:tcBorders>
          </w:tcPr>
          <w:p>
            <w:r>
              <w:rPr>
                <w:sz w:val="18"/>
                <w:szCs w:val="18"/>
              </w:rPr>
              <w:t xml:space="preserve">Gramm-Leach-Bliley Act (GLBA)</w:t>
            </w:r>
          </w:p>
        </w:tc>
        <w:tc>
          <w:tcPr>
            <w:tcBorders>
              <w:top w:val="single" w:color="AAAAAA" w:sz="6"/>
              <w:left w:val="single" w:color="AAAAAA" w:sz="6"/>
              <w:bottom w:val="single" w:color="AAAAAA" w:sz="6"/>
              <w:right w:val="single" w:color="AAAAAA" w:sz="6"/>
            </w:tcBorders>
          </w:tcPr>
          <w:p>
            <w:r>
              <w:rPr>
                <w:sz w:val="18"/>
                <w:szCs w:val="18"/>
              </w:rPr>
              <w:t xml:space="preserve">Minimum 7 years</w:t>
            </w:r>
          </w:p>
        </w:tc>
        <w:tc>
          <w:tcPr>
            <w:tcBorders>
              <w:top w:val="single" w:color="AAAAAA" w:sz="6"/>
              <w:left w:val="single" w:color="AAAAAA" w:sz="6"/>
              <w:bottom w:val="single" w:color="AAAAAA" w:sz="6"/>
              <w:right w:val="single" w:color="AAAAAA" w:sz="6"/>
            </w:tcBorders>
          </w:tcPr>
          <w:p>
            <w:r>
              <w:rPr>
                <w:sz w:val="18"/>
                <w:szCs w:val="18"/>
              </w:rPr>
              <w:t xml:space="preserve">Customer financial records, account statements, transaction history</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Sarbanes-Oxley (SOX) §802</w:t>
            </w:r>
          </w:p>
        </w:tc>
        <w:tc>
          <w:tcPr>
            <w:tcBorders>
              <w:top w:val="single" w:color="AAAAAA" w:sz="6"/>
              <w:left w:val="single" w:color="AAAAAA" w:sz="6"/>
              <w:bottom w:val="single" w:color="AAAAAA" w:sz="6"/>
              <w:right w:val="single" w:color="AAAAAA" w:sz="6"/>
            </w:tcBorders>
            <w:shd w:fill="F7F7F7" w:val="clear"/>
          </w:tcPr>
          <w:p>
            <w:r>
              <w:rPr>
                <w:sz w:val="18"/>
                <w:szCs w:val="18"/>
              </w:rPr>
              <w:t xml:space="preserve">Minimum 7 years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Audit workpapers, financial reports, board communications</w:t>
            </w:r>
          </w:p>
        </w:tc>
      </w:tr>
      <w:tr>
        <w:tc>
          <w:tcPr>
            <w:tcBorders>
              <w:top w:val="single" w:color="AAAAAA" w:sz="6"/>
              <w:left w:val="single" w:color="AAAAAA" w:sz="6"/>
              <w:bottom w:val="single" w:color="AAAAAA" w:sz="6"/>
              <w:right w:val="single" w:color="AAAAAA" w:sz="6"/>
            </w:tcBorders>
          </w:tcPr>
          <w:p>
            <w:r>
              <w:rPr>
                <w:sz w:val="18"/>
                <w:szCs w:val="18"/>
              </w:rPr>
              <w:t xml:space="preserve">California Consumer Privacy Act (CCPA)</w:t>
            </w:r>
          </w:p>
        </w:tc>
        <w:tc>
          <w:tcPr>
            <w:tcBorders>
              <w:top w:val="single" w:color="AAAAAA" w:sz="6"/>
              <w:left w:val="single" w:color="AAAAAA" w:sz="6"/>
              <w:bottom w:val="single" w:color="AAAAAA" w:sz="6"/>
              <w:right w:val="single" w:color="AAAAAA" w:sz="6"/>
            </w:tcBorders>
          </w:tcPr>
          <w:p>
            <w:r>
              <w:rPr>
                <w:sz w:val="18"/>
                <w:szCs w:val="18"/>
              </w:rPr>
              <w:t xml:space="preserve">Duration of business relationship + 3 years</w:t>
            </w:r>
          </w:p>
        </w:tc>
        <w:tc>
          <w:tcPr>
            <w:tcBorders>
              <w:top w:val="single" w:color="AAAAAA" w:sz="6"/>
              <w:left w:val="single" w:color="AAAAAA" w:sz="6"/>
              <w:bottom w:val="single" w:color="AAAAAA" w:sz="6"/>
              <w:right w:val="single" w:color="AAAAAA" w:sz="6"/>
            </w:tcBorders>
          </w:tcPr>
          <w:p>
            <w:r>
              <w:rPr>
                <w:sz w:val="18"/>
                <w:szCs w:val="18"/>
              </w:rPr>
              <w:t xml:space="preserve">California resident personal data, consent records</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ISO 27001 (A.8.3)</w:t>
            </w:r>
          </w:p>
        </w:tc>
        <w:tc>
          <w:tcPr>
            <w:tcBorders>
              <w:top w:val="single" w:color="AAAAAA" w:sz="6"/>
              <w:left w:val="single" w:color="AAAAAA" w:sz="6"/>
              <w:bottom w:val="single" w:color="AAAAAA" w:sz="6"/>
              <w:right w:val="single" w:color="AAAAAA" w:sz="6"/>
            </w:tcBorders>
            <w:shd w:fill="F7F7F7" w:val="clear"/>
          </w:tcPr>
          <w:p>
            <w:r>
              <w:rPr>
                <w:sz w:val="18"/>
                <w:szCs w:val="18"/>
              </w:rPr>
              <w:t xml:space="preserve">Per risk assessment</w:t>
            </w:r>
          </w:p>
        </w:tc>
        <w:tc>
          <w:tcPr>
            <w:tcBorders>
              <w:top w:val="single" w:color="AAAAAA" w:sz="6"/>
              <w:left w:val="single" w:color="AAAAAA" w:sz="6"/>
              <w:bottom w:val="single" w:color="AAAAAA" w:sz="6"/>
              <w:right w:val="single" w:color="AAAAAA" w:sz="6"/>
            </w:tcBorders>
            <w:shd w:fill="F7F7F7" w:val="clear"/>
          </w:tcPr>
          <w:p>
            <w:r>
              <w:rPr>
                <w:sz w:val="18"/>
                <w:szCs w:val="18"/>
              </w:rPr>
              <w:t xml:space="preserve">Information asset records, access logs, incident records</w:t>
            </w:r>
          </w:p>
        </w:tc>
      </w:tr>
      <w:tr>
        <w:tc>
          <w:tcPr>
            <w:tcBorders>
              <w:top w:val="single" w:color="AAAAAA" w:sz="6"/>
              <w:left w:val="single" w:color="AAAAAA" w:sz="6"/>
              <w:bottom w:val="single" w:color="AAAAAA" w:sz="6"/>
              <w:right w:val="single" w:color="AAAAAA" w:sz="6"/>
            </w:tcBorders>
          </w:tcPr>
          <w:p>
            <w:r>
              <w:rPr>
                <w:sz w:val="18"/>
                <w:szCs w:val="18"/>
              </w:rPr>
              <w:t xml:space="preserve">IRS Revenue Procedure 98-25</w:t>
            </w:r>
          </w:p>
        </w:tc>
        <w:tc>
          <w:tcPr>
            <w:tcBorders>
              <w:top w:val="single" w:color="AAAAAA" w:sz="6"/>
              <w:left w:val="single" w:color="AAAAAA" w:sz="6"/>
              <w:bottom w:val="single" w:color="AAAAAA" w:sz="6"/>
              <w:right w:val="single" w:color="AAAAAA" w:sz="6"/>
            </w:tcBorders>
          </w:tcPr>
          <w:p>
            <w:r>
              <w:rPr>
                <w:sz w:val="18"/>
                <w:szCs w:val="18"/>
              </w:rPr>
              <w:t xml:space="preserve">Minimum 7 years</w:t>
            </w:r>
          </w:p>
        </w:tc>
        <w:tc>
          <w:tcPr>
            <w:tcBorders>
              <w:top w:val="single" w:color="AAAAAA" w:sz="6"/>
              <w:left w:val="single" w:color="AAAAAA" w:sz="6"/>
              <w:bottom w:val="single" w:color="AAAAAA" w:sz="6"/>
              <w:right w:val="single" w:color="AAAAAA" w:sz="6"/>
            </w:tcBorders>
          </w:tcPr>
          <w:p>
            <w:r>
              <w:rPr>
                <w:sz w:val="18"/>
                <w:szCs w:val="18"/>
              </w:rPr>
              <w:t xml:space="preserve">Tax records, general ledger, payroll records</w:t>
            </w:r>
          </w:p>
        </w:tc>
      </w:tr>
    </w:tbl>
    <w:p>
      <w:pPr>
        <w:spacing w:after="60" w:before="60"/>
      </w:pPr>
      <w:r>
        <w:t xml:space="preserve"/>
      </w:r>
    </w:p>
    <w:p>
      <w:pPr>
        <w:pStyle w:val="Heading1"/>
        <w:spacing w:after="100" w:before="280"/>
      </w:pPr>
      <w:r>
        <w:rPr>
          <w:b/>
          <w:bCs/>
          <w:color w:val="1F3864"/>
          <w:sz w:val="28"/>
          <w:szCs w:val="28"/>
        </w:rPr>
        <w:t xml:space="preserve">3. Retention Schedules</w:t>
      </w:r>
    </w:p>
    <w:p>
      <w:pPr>
        <w:pStyle w:val="Heading2"/>
        <w:spacing w:after="100" w:before="280"/>
      </w:pPr>
      <w:r>
        <w:rPr>
          <w:b/>
          <w:bCs/>
          <w:color w:val="1F3864"/>
          <w:sz w:val="24"/>
          <w:szCs w:val="24"/>
        </w:rPr>
        <w:t xml:space="preserve">3.1 Customer Records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Record Type</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Retention Period</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Disposition Method</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Owner</w:t>
            </w:r>
          </w:p>
        </w:tc>
      </w:tr>
      <w:tr>
        <w:tc>
          <w:tcPr>
            <w:tcBorders>
              <w:top w:val="single" w:color="AAAAAA" w:sz="6"/>
              <w:left w:val="single" w:color="AAAAAA" w:sz="6"/>
              <w:bottom w:val="single" w:color="AAAAAA" w:sz="6"/>
              <w:right w:val="single" w:color="AAAAAA" w:sz="6"/>
            </w:tcBorders>
          </w:tcPr>
          <w:p>
            <w:r>
              <w:rPr>
                <w:sz w:val="18"/>
                <w:szCs w:val="18"/>
              </w:rPr>
              <w:t xml:space="preserve">Account statements &amp; transaction history</w:t>
            </w:r>
          </w:p>
        </w:tc>
        <w:tc>
          <w:tcPr>
            <w:tcBorders>
              <w:top w:val="single" w:color="AAAAAA" w:sz="6"/>
              <w:left w:val="single" w:color="AAAAAA" w:sz="6"/>
              <w:bottom w:val="single" w:color="AAAAAA" w:sz="6"/>
              <w:right w:val="single" w:color="AAAAAA" w:sz="6"/>
            </w:tcBorders>
          </w:tcPr>
          <w:p>
            <w:r>
              <w:rPr>
                <w:sz w:val="18"/>
                <w:szCs w:val="18"/>
              </w:rPr>
              <w:t xml:space="preserve">7 years from account closure</w:t>
            </w:r>
          </w:p>
        </w:tc>
        <w:tc>
          <w:tcPr>
            <w:tcBorders>
              <w:top w:val="single" w:color="AAAAAA" w:sz="6"/>
              <w:left w:val="single" w:color="AAAAAA" w:sz="6"/>
              <w:bottom w:val="single" w:color="AAAAAA" w:sz="6"/>
              <w:right w:val="single" w:color="AAAAAA" w:sz="6"/>
            </w:tcBorders>
          </w:tcPr>
          <w:p>
            <w:r>
              <w:rPr>
                <w:sz w:val="18"/>
                <w:szCs w:val="18"/>
              </w:rPr>
              <w:t xml:space="preserve">Secure deletion with certificate</w:t>
            </w:r>
          </w:p>
        </w:tc>
        <w:tc>
          <w:tcPr>
            <w:tcBorders>
              <w:top w:val="single" w:color="AAAAAA" w:sz="6"/>
              <w:left w:val="single" w:color="AAAAAA" w:sz="6"/>
              <w:bottom w:val="single" w:color="AAAAAA" w:sz="6"/>
              <w:right w:val="single" w:color="AAAAAA" w:sz="6"/>
            </w:tcBorders>
          </w:tcPr>
          <w:p>
            <w:r>
              <w:rPr>
                <w:sz w:val="18"/>
                <w:szCs w:val="18"/>
              </w:rPr>
              <w:t xml:space="preserve">Operations</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Loan files &amp; credit agreements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7 years from loan maturity</w:t>
            </w:r>
          </w:p>
        </w:tc>
        <w:tc>
          <w:tcPr>
            <w:tcBorders>
              <w:top w:val="single" w:color="AAAAAA" w:sz="6"/>
              <w:left w:val="single" w:color="AAAAAA" w:sz="6"/>
              <w:bottom w:val="single" w:color="AAAAAA" w:sz="6"/>
              <w:right w:val="single" w:color="AAAAAA" w:sz="6"/>
            </w:tcBorders>
            <w:shd w:fill="F7F7F7" w:val="clear"/>
          </w:tcPr>
          <w:p>
            <w:r>
              <w:rPr>
                <w:sz w:val="18"/>
                <w:szCs w:val="18"/>
              </w:rPr>
              <w:t xml:space="preserve">Shred + secure deletion</w:t>
            </w:r>
          </w:p>
        </w:tc>
        <w:tc>
          <w:tcPr>
            <w:tcBorders>
              <w:top w:val="single" w:color="AAAAAA" w:sz="6"/>
              <w:left w:val="single" w:color="AAAAAA" w:sz="6"/>
              <w:bottom w:val="single" w:color="AAAAAA" w:sz="6"/>
              <w:right w:val="single" w:color="AAAAAA" w:sz="6"/>
            </w:tcBorders>
            <w:shd w:fill="F7F7F7" w:val="clear"/>
          </w:tcPr>
          <w:p>
            <w:r>
              <w:rPr>
                <w:sz w:val="18"/>
                <w:szCs w:val="18"/>
              </w:rPr>
              <w:t xml:space="preserve">Lending</w:t>
            </w:r>
          </w:p>
        </w:tc>
      </w:tr>
      <w:tr>
        <w:tc>
          <w:tcPr>
            <w:tcBorders>
              <w:top w:val="single" w:color="AAAAAA" w:sz="6"/>
              <w:left w:val="single" w:color="AAAAAA" w:sz="6"/>
              <w:bottom w:val="single" w:color="AAAAAA" w:sz="6"/>
              <w:right w:val="single" w:color="AAAAAA" w:sz="6"/>
            </w:tcBorders>
          </w:tcPr>
          <w:p>
            <w:r>
              <w:rPr>
                <w:sz w:val="18"/>
                <w:szCs w:val="18"/>
              </w:rPr>
              <w:t xml:space="preserve">KYC / identity verification documents</w:t>
            </w:r>
          </w:p>
        </w:tc>
        <w:tc>
          <w:tcPr>
            <w:tcBorders>
              <w:top w:val="single" w:color="AAAAAA" w:sz="6"/>
              <w:left w:val="single" w:color="AAAAAA" w:sz="6"/>
              <w:bottom w:val="single" w:color="AAAAAA" w:sz="6"/>
              <w:right w:val="single" w:color="AAAAAA" w:sz="6"/>
            </w:tcBorders>
          </w:tcPr>
          <w:p>
            <w:r>
              <w:rPr>
                <w:sz w:val="18"/>
                <w:szCs w:val="18"/>
              </w:rPr>
              <w:t xml:space="preserve">5 years from relationship end</w:t>
            </w:r>
          </w:p>
        </w:tc>
        <w:tc>
          <w:tcPr>
            <w:tcBorders>
              <w:top w:val="single" w:color="AAAAAA" w:sz="6"/>
              <w:left w:val="single" w:color="AAAAAA" w:sz="6"/>
              <w:bottom w:val="single" w:color="AAAAAA" w:sz="6"/>
              <w:right w:val="single" w:color="AAAAAA" w:sz="6"/>
            </w:tcBorders>
          </w:tcPr>
          <w:p>
            <w:r>
              <w:rPr>
                <w:sz w:val="18"/>
                <w:szCs w:val="18"/>
              </w:rPr>
              <w:t xml:space="preserve">Secure deletion with certificate</w:t>
            </w:r>
          </w:p>
        </w:tc>
        <w:tc>
          <w:tcPr>
            <w:tcBorders>
              <w:top w:val="single" w:color="AAAAAA" w:sz="6"/>
              <w:left w:val="single" w:color="AAAAAA" w:sz="6"/>
              <w:bottom w:val="single" w:color="AAAAAA" w:sz="6"/>
              <w:right w:val="single" w:color="AAAAAA" w:sz="6"/>
            </w:tcBorders>
          </w:tcPr>
          <w:p>
            <w:r>
              <w:rPr>
                <w:sz w:val="18"/>
                <w:szCs w:val="18"/>
              </w:rPr>
              <w:t xml:space="preserve">Compliance</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Customer communications (email, written)</w:t>
            </w:r>
          </w:p>
        </w:tc>
        <w:tc>
          <w:tcPr>
            <w:tcBorders>
              <w:top w:val="single" w:color="AAAAAA" w:sz="6"/>
              <w:left w:val="single" w:color="AAAAAA" w:sz="6"/>
              <w:bottom w:val="single" w:color="AAAAAA" w:sz="6"/>
              <w:right w:val="single" w:color="AAAAAA" w:sz="6"/>
            </w:tcBorders>
            <w:shd w:fill="F7F7F7" w:val="clear"/>
          </w:tcPr>
          <w:p>
            <w:r>
              <w:rPr>
                <w:sz w:val="18"/>
                <w:szCs w:val="18"/>
              </w:rPr>
              <w:t xml:space="preserve">5 years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Archival then deletion</w:t>
            </w:r>
          </w:p>
        </w:tc>
        <w:tc>
          <w:tcPr>
            <w:tcBorders>
              <w:top w:val="single" w:color="AAAAAA" w:sz="6"/>
              <w:left w:val="single" w:color="AAAAAA" w:sz="6"/>
              <w:bottom w:val="single" w:color="AAAAAA" w:sz="6"/>
              <w:right w:val="single" w:color="AAAAAA" w:sz="6"/>
            </w:tcBorders>
            <w:shd w:fill="F7F7F7" w:val="clear"/>
          </w:tcPr>
          <w:p>
            <w:r>
              <w:rPr>
                <w:sz w:val="18"/>
                <w:szCs w:val="18"/>
              </w:rPr>
              <w:t xml:space="preserve">IT / Compliance</w:t>
            </w:r>
          </w:p>
        </w:tc>
      </w:tr>
      <w:tr>
        <w:tc>
          <w:tcPr>
            <w:tcBorders>
              <w:top w:val="single" w:color="AAAAAA" w:sz="6"/>
              <w:left w:val="single" w:color="AAAAAA" w:sz="6"/>
              <w:bottom w:val="single" w:color="AAAAAA" w:sz="6"/>
              <w:right w:val="single" w:color="AAAAAA" w:sz="6"/>
            </w:tcBorders>
          </w:tcPr>
          <w:p>
            <w:r>
              <w:rPr>
                <w:sz w:val="18"/>
                <w:szCs w:val="18"/>
              </w:rPr>
              <w:t xml:space="preserve">Consent records (marketing, data sharing)</w:t>
            </w:r>
          </w:p>
        </w:tc>
        <w:tc>
          <w:tcPr>
            <w:tcBorders>
              <w:top w:val="single" w:color="AAAAAA" w:sz="6"/>
              <w:left w:val="single" w:color="AAAAAA" w:sz="6"/>
              <w:bottom w:val="single" w:color="AAAAAA" w:sz="6"/>
              <w:right w:val="single" w:color="AAAAAA" w:sz="6"/>
            </w:tcBorders>
          </w:tcPr>
          <w:p>
            <w:r>
              <w:rPr>
                <w:sz w:val="18"/>
                <w:szCs w:val="18"/>
              </w:rPr>
              <w:t xml:space="preserve">Duration + 3 years</w:t>
            </w:r>
          </w:p>
        </w:tc>
        <w:tc>
          <w:tcPr>
            <w:tcBorders>
              <w:top w:val="single" w:color="AAAAAA" w:sz="6"/>
              <w:left w:val="single" w:color="AAAAAA" w:sz="6"/>
              <w:bottom w:val="single" w:color="AAAAAA" w:sz="6"/>
              <w:right w:val="single" w:color="AAAAAA" w:sz="6"/>
            </w:tcBorders>
          </w:tcPr>
          <w:p>
            <w:r>
              <w:rPr>
                <w:sz w:val="18"/>
                <w:szCs w:val="18"/>
              </w:rPr>
              <w:t xml:space="preserve">Secure deletion</w:t>
            </w:r>
          </w:p>
        </w:tc>
        <w:tc>
          <w:tcPr>
            <w:tcBorders>
              <w:top w:val="single" w:color="AAAAAA" w:sz="6"/>
              <w:left w:val="single" w:color="AAAAAA" w:sz="6"/>
              <w:bottom w:val="single" w:color="AAAAAA" w:sz="6"/>
              <w:right w:val="single" w:color="AAAAAA" w:sz="6"/>
            </w:tcBorders>
          </w:tcPr>
          <w:p>
            <w:r>
              <w:rPr>
                <w:sz w:val="18"/>
                <w:szCs w:val="18"/>
              </w:rPr>
              <w:t xml:space="preserve">Compliance</w:t>
            </w:r>
          </w:p>
        </w:tc>
      </w:tr>
    </w:tbl>
    <w:p>
      <w:pPr>
        <w:spacing w:after="60" w:before="60"/>
      </w:pPr>
      <w:r>
        <w:t xml:space="preserve"/>
      </w:r>
    </w:p>
    <w:p>
      <w:pPr>
        <w:pStyle w:val="Heading2"/>
        <w:spacing w:after="100" w:before="280"/>
      </w:pPr>
      <w:r>
        <w:rPr>
          <w:b/>
          <w:bCs/>
          <w:color w:val="1F3864"/>
          <w:sz w:val="24"/>
          <w:szCs w:val="24"/>
        </w:rPr>
        <w:t xml:space="preserve">3.2 Financial &amp; Audit Records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Record Type</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Retention Period</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Disposition Method</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Owner</w:t>
            </w:r>
          </w:p>
        </w:tc>
      </w:tr>
      <w:tr>
        <w:tc>
          <w:tcPr>
            <w:tcBorders>
              <w:top w:val="single" w:color="AAAAAA" w:sz="6"/>
              <w:left w:val="single" w:color="AAAAAA" w:sz="6"/>
              <w:bottom w:val="single" w:color="AAAAAA" w:sz="6"/>
              <w:right w:val="single" w:color="AAAAAA" w:sz="6"/>
            </w:tcBorders>
          </w:tcPr>
          <w:p>
            <w:r>
              <w:rPr>
                <w:sz w:val="18"/>
                <w:szCs w:val="18"/>
              </w:rPr>
              <w:t xml:space="preserve">General ledger &amp; journal entries</w:t>
            </w:r>
          </w:p>
        </w:tc>
        <w:tc>
          <w:tcPr>
            <w:tcBorders>
              <w:top w:val="single" w:color="AAAAAA" w:sz="6"/>
              <w:left w:val="single" w:color="AAAAAA" w:sz="6"/>
              <w:bottom w:val="single" w:color="AAAAAA" w:sz="6"/>
              <w:right w:val="single" w:color="AAAAAA" w:sz="6"/>
            </w:tcBorders>
          </w:tcPr>
          <w:p>
            <w:r>
              <w:rPr>
                <w:sz w:val="18"/>
                <w:szCs w:val="18"/>
              </w:rPr>
              <w:t xml:space="preserve">7 years</w:t>
            </w:r>
          </w:p>
        </w:tc>
        <w:tc>
          <w:tcPr>
            <w:tcBorders>
              <w:top w:val="single" w:color="AAAAAA" w:sz="6"/>
              <w:left w:val="single" w:color="AAAAAA" w:sz="6"/>
              <w:bottom w:val="single" w:color="AAAAAA" w:sz="6"/>
              <w:right w:val="single" w:color="AAAAAA" w:sz="6"/>
            </w:tcBorders>
          </w:tcPr>
          <w:p>
            <w:r>
              <w:rPr>
                <w:sz w:val="18"/>
                <w:szCs w:val="18"/>
              </w:rPr>
              <w:t xml:space="preserve">Archival then secure deletion</w:t>
            </w:r>
          </w:p>
        </w:tc>
        <w:tc>
          <w:tcPr>
            <w:tcBorders>
              <w:top w:val="single" w:color="AAAAAA" w:sz="6"/>
              <w:left w:val="single" w:color="AAAAAA" w:sz="6"/>
              <w:bottom w:val="single" w:color="AAAAAA" w:sz="6"/>
              <w:right w:val="single" w:color="AAAAAA" w:sz="6"/>
            </w:tcBorders>
          </w:tcPr>
          <w:p>
            <w:r>
              <w:rPr>
                <w:sz w:val="18"/>
                <w:szCs w:val="18"/>
              </w:rPr>
              <w:t xml:space="preserve">Finance</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Audit workpapers &amp; reports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7 years from report date</w:t>
            </w:r>
          </w:p>
        </w:tc>
        <w:tc>
          <w:tcPr>
            <w:tcBorders>
              <w:top w:val="single" w:color="AAAAAA" w:sz="6"/>
              <w:left w:val="single" w:color="AAAAAA" w:sz="6"/>
              <w:bottom w:val="single" w:color="AAAAAA" w:sz="6"/>
              <w:right w:val="single" w:color="AAAAAA" w:sz="6"/>
            </w:tcBorders>
            <w:shd w:fill="F7F7F7" w:val="clear"/>
          </w:tcPr>
          <w:p>
            <w:r>
              <w:rPr>
                <w:sz w:val="18"/>
                <w:szCs w:val="18"/>
              </w:rPr>
              <w:t xml:space="preserve">Secure deletion with certificate</w:t>
            </w:r>
          </w:p>
        </w:tc>
        <w:tc>
          <w:tcPr>
            <w:tcBorders>
              <w:top w:val="single" w:color="AAAAAA" w:sz="6"/>
              <w:left w:val="single" w:color="AAAAAA" w:sz="6"/>
              <w:bottom w:val="single" w:color="AAAAAA" w:sz="6"/>
              <w:right w:val="single" w:color="AAAAAA" w:sz="6"/>
            </w:tcBorders>
            <w:shd w:fill="F7F7F7" w:val="clear"/>
          </w:tcPr>
          <w:p>
            <w:r>
              <w:rPr>
                <w:sz w:val="18"/>
                <w:szCs w:val="18"/>
              </w:rPr>
              <w:t xml:space="preserve">Compliance</w:t>
            </w:r>
          </w:p>
        </w:tc>
      </w:tr>
      <w:tr>
        <w:tc>
          <w:tcPr>
            <w:tcBorders>
              <w:top w:val="single" w:color="AAAAAA" w:sz="6"/>
              <w:left w:val="single" w:color="AAAAAA" w:sz="6"/>
              <w:bottom w:val="single" w:color="AAAAAA" w:sz="6"/>
              <w:right w:val="single" w:color="AAAAAA" w:sz="6"/>
            </w:tcBorders>
          </w:tcPr>
          <w:p>
            <w:r>
              <w:rPr>
                <w:sz w:val="18"/>
                <w:szCs w:val="18"/>
              </w:rPr>
              <w:t xml:space="preserve">Board minutes &amp; resolutions</w:t>
            </w:r>
          </w:p>
        </w:tc>
        <w:tc>
          <w:tcPr>
            <w:tcBorders>
              <w:top w:val="single" w:color="AAAAAA" w:sz="6"/>
              <w:left w:val="single" w:color="AAAAAA" w:sz="6"/>
              <w:bottom w:val="single" w:color="AAAAAA" w:sz="6"/>
              <w:right w:val="single" w:color="AAAAAA" w:sz="6"/>
            </w:tcBorders>
          </w:tcPr>
          <w:p>
            <w:r>
              <w:rPr>
                <w:sz w:val="18"/>
                <w:szCs w:val="18"/>
              </w:rPr>
              <w:t xml:space="preserve">Permanent</w:t>
            </w:r>
          </w:p>
        </w:tc>
        <w:tc>
          <w:tcPr>
            <w:tcBorders>
              <w:top w:val="single" w:color="AAAAAA" w:sz="6"/>
              <w:left w:val="single" w:color="AAAAAA" w:sz="6"/>
              <w:bottom w:val="single" w:color="AAAAAA" w:sz="6"/>
              <w:right w:val="single" w:color="AAAAAA" w:sz="6"/>
            </w:tcBorders>
          </w:tcPr>
          <w:p>
            <w:r>
              <w:rPr>
                <w:sz w:val="18"/>
                <w:szCs w:val="18"/>
              </w:rPr>
              <w:t xml:space="preserve">Archival — do not dispose</w:t>
            </w:r>
          </w:p>
        </w:tc>
        <w:tc>
          <w:tcPr>
            <w:tcBorders>
              <w:top w:val="single" w:color="AAAAAA" w:sz="6"/>
              <w:left w:val="single" w:color="AAAAAA" w:sz="6"/>
              <w:bottom w:val="single" w:color="AAAAAA" w:sz="6"/>
              <w:right w:val="single" w:color="AAAAAA" w:sz="6"/>
            </w:tcBorders>
          </w:tcPr>
          <w:p>
            <w:r>
              <w:rPr>
                <w:sz w:val="18"/>
                <w:szCs w:val="18"/>
              </w:rPr>
              <w:t xml:space="preserve">Legal</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Regulatory correspondence</w:t>
            </w:r>
          </w:p>
        </w:tc>
        <w:tc>
          <w:tcPr>
            <w:tcBorders>
              <w:top w:val="single" w:color="AAAAAA" w:sz="6"/>
              <w:left w:val="single" w:color="AAAAAA" w:sz="6"/>
              <w:bottom w:val="single" w:color="AAAAAA" w:sz="6"/>
              <w:right w:val="single" w:color="AAAAAA" w:sz="6"/>
            </w:tcBorders>
            <w:shd w:fill="F7F7F7" w:val="clear"/>
          </w:tcPr>
          <w:p>
            <w:r>
              <w:rPr>
                <w:sz w:val="18"/>
                <w:szCs w:val="18"/>
              </w:rPr>
              <w:t xml:space="preserve">7 years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Secure deletion</w:t>
            </w:r>
          </w:p>
        </w:tc>
        <w:tc>
          <w:tcPr>
            <w:tcBorders>
              <w:top w:val="single" w:color="AAAAAA" w:sz="6"/>
              <w:left w:val="single" w:color="AAAAAA" w:sz="6"/>
              <w:bottom w:val="single" w:color="AAAAAA" w:sz="6"/>
              <w:right w:val="single" w:color="AAAAAA" w:sz="6"/>
            </w:tcBorders>
            <w:shd w:fill="F7F7F7" w:val="clear"/>
          </w:tcPr>
          <w:p>
            <w:r>
              <w:rPr>
                <w:sz w:val="18"/>
                <w:szCs w:val="18"/>
              </w:rPr>
              <w:t xml:space="preserve">Legal / Compliance</w:t>
            </w:r>
          </w:p>
        </w:tc>
      </w:tr>
      <w:tr>
        <w:tc>
          <w:tcPr>
            <w:tcBorders>
              <w:top w:val="single" w:color="AAAAAA" w:sz="6"/>
              <w:left w:val="single" w:color="AAAAAA" w:sz="6"/>
              <w:bottom w:val="single" w:color="AAAAAA" w:sz="6"/>
              <w:right w:val="single" w:color="AAAAAA" w:sz="6"/>
            </w:tcBorders>
          </w:tcPr>
          <w:p>
            <w:r>
              <w:rPr>
                <w:sz w:val="18"/>
                <w:szCs w:val="18"/>
              </w:rPr>
              <w:t xml:space="preserve">Tax filings &amp; supporting documents</w:t>
            </w:r>
          </w:p>
        </w:tc>
        <w:tc>
          <w:tcPr>
            <w:tcBorders>
              <w:top w:val="single" w:color="AAAAAA" w:sz="6"/>
              <w:left w:val="single" w:color="AAAAAA" w:sz="6"/>
              <w:bottom w:val="single" w:color="AAAAAA" w:sz="6"/>
              <w:right w:val="single" w:color="AAAAAA" w:sz="6"/>
            </w:tcBorders>
          </w:tcPr>
          <w:p>
            <w:r>
              <w:rPr>
                <w:sz w:val="18"/>
                <w:szCs w:val="18"/>
              </w:rPr>
              <w:t xml:space="preserve">7 years</w:t>
            </w:r>
          </w:p>
        </w:tc>
        <w:tc>
          <w:tcPr>
            <w:tcBorders>
              <w:top w:val="single" w:color="AAAAAA" w:sz="6"/>
              <w:left w:val="single" w:color="AAAAAA" w:sz="6"/>
              <w:bottom w:val="single" w:color="AAAAAA" w:sz="6"/>
              <w:right w:val="single" w:color="AAAAAA" w:sz="6"/>
            </w:tcBorders>
          </w:tcPr>
          <w:p>
            <w:r>
              <w:rPr>
                <w:sz w:val="18"/>
                <w:szCs w:val="18"/>
              </w:rPr>
              <w:t xml:space="preserve">Shred + secure deletion</w:t>
            </w:r>
          </w:p>
        </w:tc>
        <w:tc>
          <w:tcPr>
            <w:tcBorders>
              <w:top w:val="single" w:color="AAAAAA" w:sz="6"/>
              <w:left w:val="single" w:color="AAAAAA" w:sz="6"/>
              <w:bottom w:val="single" w:color="AAAAAA" w:sz="6"/>
              <w:right w:val="single" w:color="AAAAAA" w:sz="6"/>
            </w:tcBorders>
          </w:tcPr>
          <w:p>
            <w:r>
              <w:rPr>
                <w:sz w:val="18"/>
                <w:szCs w:val="18"/>
              </w:rPr>
              <w:t xml:space="preserve">Finance</w:t>
            </w:r>
          </w:p>
        </w:tc>
      </w:tr>
    </w:tbl>
    <w:p>
      <w:pPr>
        <w:spacing w:after="60" w:before="60"/>
      </w:pPr>
      <w:r>
        <w:t xml:space="preserve"/>
      </w:r>
    </w:p>
    <w:p>
      <w:pPr>
        <w:pStyle w:val="Heading2"/>
        <w:spacing w:after="100" w:before="280"/>
      </w:pPr>
      <w:r>
        <w:rPr>
          <w:b/>
          <w:bCs/>
          <w:color w:val="1F3864"/>
          <w:sz w:val="24"/>
          <w:szCs w:val="24"/>
        </w:rPr>
        <w:t xml:space="preserve">3.3 Employee &amp; HR Records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Record Type</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Retention Period</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Disposition Method</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Owner</w:t>
            </w:r>
          </w:p>
        </w:tc>
      </w:tr>
      <w:tr>
        <w:tc>
          <w:tcPr>
            <w:tcBorders>
              <w:top w:val="single" w:color="AAAAAA" w:sz="6"/>
              <w:left w:val="single" w:color="AAAAAA" w:sz="6"/>
              <w:bottom w:val="single" w:color="AAAAAA" w:sz="6"/>
              <w:right w:val="single" w:color="AAAAAA" w:sz="6"/>
            </w:tcBorders>
          </w:tcPr>
          <w:p>
            <w:r>
              <w:rPr>
                <w:sz w:val="18"/>
                <w:szCs w:val="18"/>
              </w:rPr>
              <w:t xml:space="preserve">Employment contracts &amp; offer letters</w:t>
            </w:r>
          </w:p>
        </w:tc>
        <w:tc>
          <w:tcPr>
            <w:tcBorders>
              <w:top w:val="single" w:color="AAAAAA" w:sz="6"/>
              <w:left w:val="single" w:color="AAAAAA" w:sz="6"/>
              <w:bottom w:val="single" w:color="AAAAAA" w:sz="6"/>
              <w:right w:val="single" w:color="AAAAAA" w:sz="6"/>
            </w:tcBorders>
          </w:tcPr>
          <w:p>
            <w:r>
              <w:rPr>
                <w:sz w:val="18"/>
                <w:szCs w:val="18"/>
              </w:rPr>
              <w:t xml:space="preserve">7 years post-termination</w:t>
            </w:r>
          </w:p>
        </w:tc>
        <w:tc>
          <w:tcPr>
            <w:tcBorders>
              <w:top w:val="single" w:color="AAAAAA" w:sz="6"/>
              <w:left w:val="single" w:color="AAAAAA" w:sz="6"/>
              <w:bottom w:val="single" w:color="AAAAAA" w:sz="6"/>
              <w:right w:val="single" w:color="AAAAAA" w:sz="6"/>
            </w:tcBorders>
          </w:tcPr>
          <w:p>
            <w:r>
              <w:rPr>
                <w:sz w:val="18"/>
                <w:szCs w:val="18"/>
              </w:rPr>
              <w:t xml:space="preserve">Shred + secure deletion</w:t>
            </w:r>
          </w:p>
        </w:tc>
        <w:tc>
          <w:tcPr>
            <w:tcBorders>
              <w:top w:val="single" w:color="AAAAAA" w:sz="6"/>
              <w:left w:val="single" w:color="AAAAAA" w:sz="6"/>
              <w:bottom w:val="single" w:color="AAAAAA" w:sz="6"/>
              <w:right w:val="single" w:color="AAAAAA" w:sz="6"/>
            </w:tcBorders>
          </w:tcPr>
          <w:p>
            <w:r>
              <w:rPr>
                <w:sz w:val="18"/>
                <w:szCs w:val="18"/>
              </w:rPr>
              <w:t xml:space="preserve">HR</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Performance reviews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5 years post-termination</w:t>
            </w:r>
          </w:p>
        </w:tc>
        <w:tc>
          <w:tcPr>
            <w:tcBorders>
              <w:top w:val="single" w:color="AAAAAA" w:sz="6"/>
              <w:left w:val="single" w:color="AAAAAA" w:sz="6"/>
              <w:bottom w:val="single" w:color="AAAAAA" w:sz="6"/>
              <w:right w:val="single" w:color="AAAAAA" w:sz="6"/>
            </w:tcBorders>
            <w:shd w:fill="F7F7F7" w:val="clear"/>
          </w:tcPr>
          <w:p>
            <w:r>
              <w:rPr>
                <w:sz w:val="18"/>
                <w:szCs w:val="18"/>
              </w:rPr>
              <w:t xml:space="preserve">Secure deletion</w:t>
            </w:r>
          </w:p>
        </w:tc>
        <w:tc>
          <w:tcPr>
            <w:tcBorders>
              <w:top w:val="single" w:color="AAAAAA" w:sz="6"/>
              <w:left w:val="single" w:color="AAAAAA" w:sz="6"/>
              <w:bottom w:val="single" w:color="AAAAAA" w:sz="6"/>
              <w:right w:val="single" w:color="AAAAAA" w:sz="6"/>
            </w:tcBorders>
            <w:shd w:fill="F7F7F7" w:val="clear"/>
          </w:tcPr>
          <w:p>
            <w:r>
              <w:rPr>
                <w:sz w:val="18"/>
                <w:szCs w:val="18"/>
              </w:rPr>
              <w:t xml:space="preserve">HR</w:t>
            </w:r>
          </w:p>
        </w:tc>
      </w:tr>
      <w:tr>
        <w:tc>
          <w:tcPr>
            <w:tcBorders>
              <w:top w:val="single" w:color="AAAAAA" w:sz="6"/>
              <w:left w:val="single" w:color="AAAAAA" w:sz="6"/>
              <w:bottom w:val="single" w:color="AAAAAA" w:sz="6"/>
              <w:right w:val="single" w:color="AAAAAA" w:sz="6"/>
            </w:tcBorders>
          </w:tcPr>
          <w:p>
            <w:r>
              <w:rPr>
                <w:sz w:val="18"/>
                <w:szCs w:val="18"/>
              </w:rPr>
              <w:t xml:space="preserve">Payroll records</w:t>
            </w:r>
          </w:p>
        </w:tc>
        <w:tc>
          <w:tcPr>
            <w:tcBorders>
              <w:top w:val="single" w:color="AAAAAA" w:sz="6"/>
              <w:left w:val="single" w:color="AAAAAA" w:sz="6"/>
              <w:bottom w:val="single" w:color="AAAAAA" w:sz="6"/>
              <w:right w:val="single" w:color="AAAAAA" w:sz="6"/>
            </w:tcBorders>
          </w:tcPr>
          <w:p>
            <w:r>
              <w:rPr>
                <w:sz w:val="18"/>
                <w:szCs w:val="18"/>
              </w:rPr>
              <w:t xml:space="preserve">7 years</w:t>
            </w:r>
          </w:p>
        </w:tc>
        <w:tc>
          <w:tcPr>
            <w:tcBorders>
              <w:top w:val="single" w:color="AAAAAA" w:sz="6"/>
              <w:left w:val="single" w:color="AAAAAA" w:sz="6"/>
              <w:bottom w:val="single" w:color="AAAAAA" w:sz="6"/>
              <w:right w:val="single" w:color="AAAAAA" w:sz="6"/>
            </w:tcBorders>
          </w:tcPr>
          <w:p>
            <w:r>
              <w:rPr>
                <w:sz w:val="18"/>
                <w:szCs w:val="18"/>
              </w:rPr>
              <w:t xml:space="preserve">Shred + secure deletion</w:t>
            </w:r>
          </w:p>
        </w:tc>
        <w:tc>
          <w:tcPr>
            <w:tcBorders>
              <w:top w:val="single" w:color="AAAAAA" w:sz="6"/>
              <w:left w:val="single" w:color="AAAAAA" w:sz="6"/>
              <w:bottom w:val="single" w:color="AAAAAA" w:sz="6"/>
              <w:right w:val="single" w:color="AAAAAA" w:sz="6"/>
            </w:tcBorders>
          </w:tcPr>
          <w:p>
            <w:r>
              <w:rPr>
                <w:sz w:val="18"/>
                <w:szCs w:val="18"/>
              </w:rPr>
              <w:t xml:space="preserve">HR / Finance</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Background check results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Duration of employment + 5 years</w:t>
            </w:r>
          </w:p>
        </w:tc>
        <w:tc>
          <w:tcPr>
            <w:tcBorders>
              <w:top w:val="single" w:color="AAAAAA" w:sz="6"/>
              <w:left w:val="single" w:color="AAAAAA" w:sz="6"/>
              <w:bottom w:val="single" w:color="AAAAAA" w:sz="6"/>
              <w:right w:val="single" w:color="AAAAAA" w:sz="6"/>
            </w:tcBorders>
            <w:shd w:fill="F7F7F7" w:val="clear"/>
          </w:tcPr>
          <w:p>
            <w:r>
              <w:rPr>
                <w:sz w:val="18"/>
                <w:szCs w:val="18"/>
              </w:rPr>
              <w:t xml:space="preserve">Secure deletion</w:t>
            </w:r>
          </w:p>
        </w:tc>
        <w:tc>
          <w:tcPr>
            <w:tcBorders>
              <w:top w:val="single" w:color="AAAAAA" w:sz="6"/>
              <w:left w:val="single" w:color="AAAAAA" w:sz="6"/>
              <w:bottom w:val="single" w:color="AAAAAA" w:sz="6"/>
              <w:right w:val="single" w:color="AAAAAA" w:sz="6"/>
            </w:tcBorders>
            <w:shd w:fill="F7F7F7" w:val="clear"/>
          </w:tcPr>
          <w:p>
            <w:r>
              <w:rPr>
                <w:sz w:val="18"/>
                <w:szCs w:val="18"/>
              </w:rPr>
              <w:t xml:space="preserve">HR</w:t>
            </w:r>
          </w:p>
        </w:tc>
      </w:tr>
      <w:tr>
        <w:tc>
          <w:tcPr>
            <w:tcBorders>
              <w:top w:val="single" w:color="AAAAAA" w:sz="6"/>
              <w:left w:val="single" w:color="AAAAAA" w:sz="6"/>
              <w:bottom w:val="single" w:color="AAAAAA" w:sz="6"/>
              <w:right w:val="single" w:color="AAAAAA" w:sz="6"/>
            </w:tcBorders>
          </w:tcPr>
          <w:p>
            <w:r>
              <w:rPr>
                <w:sz w:val="18"/>
                <w:szCs w:val="18"/>
              </w:rPr>
              <w:t xml:space="preserve">Training completion records</w:t>
            </w:r>
          </w:p>
        </w:tc>
        <w:tc>
          <w:tcPr>
            <w:tcBorders>
              <w:top w:val="single" w:color="AAAAAA" w:sz="6"/>
              <w:left w:val="single" w:color="AAAAAA" w:sz="6"/>
              <w:bottom w:val="single" w:color="AAAAAA" w:sz="6"/>
              <w:right w:val="single" w:color="AAAAAA" w:sz="6"/>
            </w:tcBorders>
          </w:tcPr>
          <w:p>
            <w:r>
              <w:rPr>
                <w:sz w:val="18"/>
                <w:szCs w:val="18"/>
              </w:rPr>
              <w:t xml:space="preserve">5 years</w:t>
            </w:r>
          </w:p>
        </w:tc>
        <w:tc>
          <w:tcPr>
            <w:tcBorders>
              <w:top w:val="single" w:color="AAAAAA" w:sz="6"/>
              <w:left w:val="single" w:color="AAAAAA" w:sz="6"/>
              <w:bottom w:val="single" w:color="AAAAAA" w:sz="6"/>
              <w:right w:val="single" w:color="AAAAAA" w:sz="6"/>
            </w:tcBorders>
          </w:tcPr>
          <w:p>
            <w:r>
              <w:rPr>
                <w:sz w:val="18"/>
                <w:szCs w:val="18"/>
              </w:rPr>
              <w:t xml:space="preserve">Secure deletion</w:t>
            </w:r>
          </w:p>
        </w:tc>
        <w:tc>
          <w:tcPr>
            <w:tcBorders>
              <w:top w:val="single" w:color="AAAAAA" w:sz="6"/>
              <w:left w:val="single" w:color="AAAAAA" w:sz="6"/>
              <w:bottom w:val="single" w:color="AAAAAA" w:sz="6"/>
              <w:right w:val="single" w:color="AAAAAA" w:sz="6"/>
            </w:tcBorders>
          </w:tcPr>
          <w:p>
            <w:r>
              <w:rPr>
                <w:sz w:val="18"/>
                <w:szCs w:val="18"/>
              </w:rPr>
              <w:t xml:space="preserve">HR / Compliance</w:t>
            </w:r>
          </w:p>
        </w:tc>
      </w:tr>
    </w:tbl>
    <w:p>
      <w:pPr>
        <w:spacing w:after="60" w:before="60"/>
      </w:pPr>
      <w:r>
        <w:t xml:space="preserve"/>
      </w:r>
    </w:p>
    <w:p>
      <w:pPr>
        <w:pStyle w:val="Heading1"/>
        <w:spacing w:after="100" w:before="280"/>
      </w:pPr>
      <w:r>
        <w:rPr>
          <w:b/>
          <w:bCs/>
          <w:color w:val="1F3864"/>
          <w:sz w:val="28"/>
          <w:szCs w:val="28"/>
        </w:rPr>
        <w:t xml:space="preserve">4. Data Disposition Requirements</w:t>
      </w:r>
    </w:p>
    <w:p>
      <w:pPr>
        <w:spacing w:after="100" w:before="60"/>
      </w:pPr>
      <w:r>
        <w:rPr>
          <w:sz w:val="20"/>
          <w:szCs w:val="20"/>
        </w:rPr>
        <w:t xml:space="preserve">All data and physical records must be disposed of using methods that render the information irrecoverable. The following standards apply:</w:t>
      </w:r>
    </w:p>
    <w:p>
      <w:pPr>
        <w:pStyle w:val="ListParagraph"/>
        <w:numPr>
          <w:ilvl w:val="0"/>
          <w:numId w:val="1"/>
        </w:numPr>
        <w:spacing w:after="40" w:before="40"/>
      </w:pPr>
      <w:r>
        <w:rPr>
          <w:b/>
          <w:bCs/>
          <w:sz w:val="20"/>
          <w:szCs w:val="20"/>
        </w:rPr>
        <w:t xml:space="preserve">NIST SP 800-88 Guidelines for Media Sanitization — Clear, Purge, or Destroy as appropriate to classification level.</w:t>
      </w:r>
      <w:r>
        <w:rPr>
          <w:sz w:val="20"/>
          <w:szCs w:val="20"/>
        </w:rPr>
        <w:t xml:space="preserve">Electronic media (SSD, HDD, USB): </w:t>
      </w:r>
    </w:p>
    <w:p>
      <w:pPr>
        <w:pStyle w:val="ListParagraph"/>
        <w:numPr>
          <w:ilvl w:val="0"/>
          <w:numId w:val="1"/>
        </w:numPr>
        <w:spacing w:after="40" w:before="40"/>
      </w:pPr>
      <w:r>
        <w:rPr>
          <w:b/>
          <w:bCs/>
          <w:sz w:val="20"/>
          <w:szCs w:val="20"/>
        </w:rPr>
        <w:t xml:space="preserve">Cryptographic erasure or vendor-certified deletion with written confirmation.</w:t>
      </w:r>
      <w:r>
        <w:rPr>
          <w:sz w:val="20"/>
          <w:szCs w:val="20"/>
        </w:rPr>
        <w:t xml:space="preserve">Cloud storage: </w:t>
      </w:r>
    </w:p>
    <w:p>
      <w:pPr>
        <w:pStyle w:val="ListParagraph"/>
        <w:numPr>
          <w:ilvl w:val="0"/>
          <w:numId w:val="1"/>
        </w:numPr>
        <w:spacing w:after="40" w:before="40"/>
      </w:pPr>
      <w:r>
        <w:rPr>
          <w:b/>
          <w:bCs/>
          <w:sz w:val="20"/>
          <w:szCs w:val="20"/>
        </w:rPr>
        <w:t xml:space="preserve">Cross-cut shredding by approved vendor (minimum DIN 66399 Level P-4).</w:t>
      </w:r>
      <w:r>
        <w:rPr>
          <w:sz w:val="20"/>
          <w:szCs w:val="20"/>
        </w:rPr>
        <w:t xml:space="preserve">Physical documents: </w:t>
      </w:r>
    </w:p>
    <w:p>
      <w:pPr>
        <w:pStyle w:val="ListParagraph"/>
        <w:numPr>
          <w:ilvl w:val="0"/>
          <w:numId w:val="1"/>
        </w:numPr>
        <w:spacing w:after="40" w:before="40"/>
      </w:pPr>
      <w:r>
        <w:rPr>
          <w:b/>
          <w:bCs/>
          <w:sz w:val="20"/>
          <w:szCs w:val="20"/>
        </w:rPr>
        <w:t xml:space="preserve">Physical degaussing followed by destruction. Certificates of destruction must be retained for 3 years.</w:t>
      </w:r>
      <w:r>
        <w:rPr>
          <w:sz w:val="20"/>
          <w:szCs w:val="20"/>
        </w:rPr>
        <w:t xml:space="preserve">Backup tapes: </w:t>
      </w:r>
    </w:p>
    <w:p>
      <w:pPr>
        <w:pStyle w:val="ListParagraph"/>
        <w:numPr>
          <w:ilvl w:val="0"/>
          <w:numId w:val="1"/>
        </w:numPr>
        <w:spacing w:after="40" w:before="40"/>
      </w:pPr>
      <w:r>
        <w:rPr>
          <w:b/>
          <w:bCs/>
          <w:sz w:val="20"/>
          <w:szCs w:val="20"/>
        </w:rPr>
        <w:t xml:space="preserve">Automated purge via M365 Retention Policy with audit log evidence retained.</w:t>
      </w:r>
      <w:r>
        <w:rPr>
          <w:sz w:val="20"/>
          <w:szCs w:val="20"/>
        </w:rPr>
        <w:t xml:space="preserve">Email archives: </w:t>
      </w:r>
    </w:p>
    <w:p>
      <w:pPr>
        <w:spacing w:after="60" w:before="60"/>
      </w:pPr>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tblGrid>
      <w:tr>
        <w:tc>
          <w:tcPr>
            <w:tcBorders>
              <w:top w:val="single" w:color="FFD700" w:sz="12"/>
              <w:left w:val="thick" w:color="FFD700" w:sz="24"/>
              <w:bottom w:val="single" w:color="FFD700" w:sz="6"/>
              <w:right w:val="none" w:color="FFFFFF" w:sz="0"/>
            </w:tcBorders>
            <w:shd w:fill="FFF9DB" w:val="clear"/>
          </w:tcPr>
          <w:p>
            <w:r>
              <w:rPr>
                <w:b/>
                <w:bCs/>
                <w:color w:val="555500"/>
                <w:sz w:val="18"/>
                <w:szCs w:val="18"/>
              </w:rPr>
              <w:t xml:space="preserve">⚠  IMPORTANT — Legal Hold Override</w:t>
            </w:r>
          </w:p>
          <w:p>
            <w:r>
              <w:rPr>
                <w:color w:val="333300"/>
                <w:sz w:val="18"/>
                <w:szCs w:val="18"/>
              </w:rPr>
              <w:t xml:space="preserve">Any records subject to a Legal Hold notice must be preserved regardless of this policy's disposition schedule. The Legal department will issue Legal Hold notices and maintain the Legal Hold register. Questions regarding Legal Hold status should be directed to legal@zava-financial.com.</w:t>
            </w:r>
          </w:p>
        </w:tc>
      </w:tr>
    </w:tbl>
    <w:p>
      <w:pPr>
        <w:spacing w:after="60" w:before="60"/>
      </w:pPr>
      <w:r>
        <w:t xml:space="preserve"/>
      </w:r>
    </w:p>
    <w:p>
      <w:pPr>
        <w:pStyle w:val="Heading1"/>
        <w:spacing w:after="100" w:before="280"/>
      </w:pPr>
      <w:r>
        <w:rPr>
          <w:b/>
          <w:bCs/>
          <w:color w:val="1F3864"/>
          <w:sz w:val="28"/>
          <w:szCs w:val="28"/>
        </w:rPr>
        <w:t xml:space="preserve">5. Roles and Responsibilities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rPr>
          <w:tblHeader/>
        </w:trPr>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Role</w:t>
            </w:r>
          </w:p>
        </w:tc>
        <w:tc>
          <w:tcPr>
            <w:tcBorders>
              <w:top w:val="single" w:color="AAAAAA" w:sz="6"/>
              <w:left w:val="single" w:color="AAAAAA" w:sz="6"/>
              <w:bottom w:val="single" w:color="AAAAAA" w:sz="6"/>
              <w:right w:val="single" w:color="AAAAAA" w:sz="6"/>
            </w:tcBorders>
            <w:shd w:fill="1F3864" w:val="clear"/>
          </w:tcPr>
          <w:p>
            <w:r>
              <w:rPr>
                <w:b/>
                <w:bCs/>
                <w:color w:val="FFFFFF"/>
                <w:sz w:val="18"/>
                <w:szCs w:val="18"/>
              </w:rPr>
              <w:t xml:space="preserve">Responsibilities</w:t>
            </w:r>
          </w:p>
        </w:tc>
      </w:tr>
      <w:tr>
        <w:tc>
          <w:tcPr>
            <w:tcBorders>
              <w:top w:val="single" w:color="AAAAAA" w:sz="6"/>
              <w:left w:val="single" w:color="AAAAAA" w:sz="6"/>
              <w:bottom w:val="single" w:color="AAAAAA" w:sz="6"/>
              <w:right w:val="single" w:color="AAAAAA" w:sz="6"/>
            </w:tcBorders>
          </w:tcPr>
          <w:p>
            <w:r>
              <w:rPr>
                <w:sz w:val="18"/>
                <w:szCs w:val="18"/>
              </w:rPr>
              <w:t xml:space="preserve">Chief Compliance Officer</w:t>
            </w:r>
          </w:p>
        </w:tc>
        <w:tc>
          <w:tcPr>
            <w:tcBorders>
              <w:top w:val="single" w:color="AAAAAA" w:sz="6"/>
              <w:left w:val="single" w:color="AAAAAA" w:sz="6"/>
              <w:bottom w:val="single" w:color="AAAAAA" w:sz="6"/>
              <w:right w:val="single" w:color="AAAAAA" w:sz="6"/>
            </w:tcBorders>
          </w:tcPr>
          <w:p>
            <w:r>
              <w:rPr>
                <w:sz w:val="18"/>
                <w:szCs w:val="18"/>
              </w:rPr>
              <w:t xml:space="preserve">Policy ownership, annual review, regulatory liaison, exception approval</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IT / Information Security</w:t>
            </w:r>
          </w:p>
        </w:tc>
        <w:tc>
          <w:tcPr>
            <w:tcBorders>
              <w:top w:val="single" w:color="AAAAAA" w:sz="6"/>
              <w:left w:val="single" w:color="AAAAAA" w:sz="6"/>
              <w:bottom w:val="single" w:color="AAAAAA" w:sz="6"/>
              <w:right w:val="single" w:color="AAAAAA" w:sz="6"/>
            </w:tcBorders>
            <w:shd w:fill="F7F7F7" w:val="clear"/>
          </w:tcPr>
          <w:p>
            <w:r>
              <w:rPr>
                <w:sz w:val="18"/>
                <w:szCs w:val="18"/>
              </w:rPr>
              <w:t xml:space="preserve">Technical enforcement, system configuration, deletion certification, audit log maintenance</w:t>
            </w:r>
          </w:p>
        </w:tc>
      </w:tr>
      <w:tr>
        <w:tc>
          <w:tcPr>
            <w:tcBorders>
              <w:top w:val="single" w:color="AAAAAA" w:sz="6"/>
              <w:left w:val="single" w:color="AAAAAA" w:sz="6"/>
              <w:bottom w:val="single" w:color="AAAAAA" w:sz="6"/>
              <w:right w:val="single" w:color="AAAAAA" w:sz="6"/>
            </w:tcBorders>
          </w:tcPr>
          <w:p>
            <w:r>
              <w:rPr>
                <w:sz w:val="18"/>
                <w:szCs w:val="18"/>
              </w:rPr>
              <w:t xml:space="preserve">Department Heads</w:t>
            </w:r>
          </w:p>
        </w:tc>
        <w:tc>
          <w:tcPr>
            <w:tcBorders>
              <w:top w:val="single" w:color="AAAAAA" w:sz="6"/>
              <w:left w:val="single" w:color="AAAAAA" w:sz="6"/>
              <w:bottom w:val="single" w:color="AAAAAA" w:sz="6"/>
              <w:right w:val="single" w:color="AAAAAA" w:sz="6"/>
            </w:tcBorders>
          </w:tcPr>
          <w:p>
            <w:r>
              <w:rPr>
                <w:sz w:val="18"/>
                <w:szCs w:val="18"/>
              </w:rPr>
              <w:t xml:space="preserve">Ensuring team compliance, escalating exceptions, managing physical records</w:t>
            </w:r>
          </w:p>
        </w:tc>
      </w:tr>
      <w:tr>
        <w:tc>
          <w:tcPr>
            <w:tcBorders>
              <w:top w:val="single" w:color="AAAAAA" w:sz="6"/>
              <w:left w:val="single" w:color="AAAAAA" w:sz="6"/>
              <w:bottom w:val="single" w:color="AAAAAA" w:sz="6"/>
              <w:right w:val="single" w:color="AAAAAA" w:sz="6"/>
            </w:tcBorders>
            <w:shd w:fill="F7F7F7" w:val="clear"/>
          </w:tcPr>
          <w:p>
            <w:r>
              <w:rPr>
                <w:sz w:val="18"/>
                <w:szCs w:val="18"/>
              </w:rPr>
              <w:t xml:space="preserve">Legal</w:t>
            </w:r>
          </w:p>
        </w:tc>
        <w:tc>
          <w:tcPr>
            <w:tcBorders>
              <w:top w:val="single" w:color="AAAAAA" w:sz="6"/>
              <w:left w:val="single" w:color="AAAAAA" w:sz="6"/>
              <w:bottom w:val="single" w:color="AAAAAA" w:sz="6"/>
              <w:right w:val="single" w:color="AAAAAA" w:sz="6"/>
            </w:tcBorders>
            <w:shd w:fill="F7F7F7" w:val="clear"/>
          </w:tcPr>
          <w:p>
            <w:r>
              <w:rPr>
                <w:sz w:val="18"/>
                <w:szCs w:val="18"/>
              </w:rPr>
              <w:t xml:space="preserve">Legal hold management, regulatory inquiry coordination, contract records</w:t>
            </w:r>
          </w:p>
        </w:tc>
      </w:tr>
      <w:tr>
        <w:tc>
          <w:tcPr>
            <w:tcBorders>
              <w:top w:val="single" w:color="AAAAAA" w:sz="6"/>
              <w:left w:val="single" w:color="AAAAAA" w:sz="6"/>
              <w:bottom w:val="single" w:color="AAAAAA" w:sz="6"/>
              <w:right w:val="single" w:color="AAAAAA" w:sz="6"/>
            </w:tcBorders>
          </w:tcPr>
          <w:p>
            <w:r>
              <w:rPr>
                <w:sz w:val="18"/>
                <w:szCs w:val="18"/>
              </w:rPr>
              <w:t xml:space="preserve">All Employees</w:t>
            </w:r>
          </w:p>
        </w:tc>
        <w:tc>
          <w:tcPr>
            <w:tcBorders>
              <w:top w:val="single" w:color="AAAAAA" w:sz="6"/>
              <w:left w:val="single" w:color="AAAAAA" w:sz="6"/>
              <w:bottom w:val="single" w:color="AAAAAA" w:sz="6"/>
              <w:right w:val="single" w:color="AAAAAA" w:sz="6"/>
            </w:tcBorders>
          </w:tcPr>
          <w:p>
            <w:r>
              <w:rPr>
                <w:sz w:val="18"/>
                <w:szCs w:val="18"/>
              </w:rPr>
              <w:t xml:space="preserve">Classifying data at creation, following disposition procedures, reporting violations</w:t>
            </w:r>
          </w:p>
        </w:tc>
      </w:tr>
    </w:tbl>
    <w:p>
      <w:pPr>
        <w:spacing w:after="60" w:before="60"/>
      </w:pPr>
      <w:r>
        <w:t xml:space="preserve"/>
      </w:r>
    </w:p>
    <w:p>
      <w:pPr>
        <w:pStyle w:val="Heading1"/>
        <w:spacing w:after="100" w:before="280"/>
      </w:pPr>
      <w:r>
        <w:rPr>
          <w:b/>
          <w:bCs/>
          <w:color w:val="1F3864"/>
          <w:sz w:val="28"/>
          <w:szCs w:val="28"/>
        </w:rPr>
        <w:t xml:space="preserve">6. Exceptions and Waivers</w:t>
      </w:r>
    </w:p>
    <w:p>
      <w:pPr>
        <w:spacing w:after="100" w:before="60"/>
      </w:pPr>
      <w:r>
        <w:rPr>
          <w:sz w:val="20"/>
          <w:szCs w:val="20"/>
        </w:rPr>
        <w:t xml:space="preserve">Exceptions to this policy must be submitted to the Chief Compliance Officer using the Policy Exception Request Form (available on the Compliance intranet page). Exceptions are granted only where a documented business or legal justification exists. All approved exceptions are logged and reviewed quarterly.</w:t>
      </w:r>
    </w:p>
    <w:p>
      <w:pPr>
        <w:spacing w:after="100" w:before="60"/>
      </w:pPr>
      <w:r>
        <w:rPr>
          <w:sz w:val="20"/>
          <w:szCs w:val="20"/>
        </w:rPr>
        <w:t xml:space="preserve">As of the date of this policy, the following departments hold active retention exceptions:</w:t>
      </w:r>
    </w:p>
    <w:p>
      <w:pPr>
        <w:pStyle w:val="ListParagraph"/>
        <w:numPr>
          <w:ilvl w:val="0"/>
          <w:numId w:val="1"/>
        </w:numPr>
        <w:spacing w:after="40" w:before="40"/>
      </w:pPr>
      <w:r>
        <w:rPr>
          <w:sz w:val="20"/>
          <w:szCs w:val="20"/>
        </w:rPr>
        <w:t xml:space="preserve">Investment Research — extended retention of client communications pending SEC guidance clarification (Exception REX-2024-003, expires Dec 2025)</w:t>
      </w:r>
    </w:p>
    <w:p>
      <w:pPr>
        <w:pStyle w:val="ListParagraph"/>
        <w:numPr>
          <w:ilvl w:val="0"/>
          <w:numId w:val="1"/>
        </w:numPr>
        <w:spacing w:after="40" w:before="40"/>
      </w:pPr>
      <w:r>
        <w:rPr>
          <w:sz w:val="20"/>
          <w:szCs w:val="20"/>
        </w:rPr>
        <w:t xml:space="preserve">Legal — extended retention of matter files for open litigation (Exception REX-2024-007, rolling)</w:t>
      </w:r>
    </w:p>
    <w:p>
      <w:pPr>
        <w:spacing w:after="60" w:before="60"/>
      </w:pPr>
      <w:r>
        <w:t xml:space="preserve"/>
      </w:r>
    </w:p>
    <w:p>
      <w:pPr>
        <w:pStyle w:val="Heading1"/>
        <w:spacing w:after="100" w:before="280"/>
      </w:pPr>
      <w:r>
        <w:rPr>
          <w:b/>
          <w:bCs/>
          <w:color w:val="1F3864"/>
          <w:sz w:val="28"/>
          <w:szCs w:val="28"/>
        </w:rPr>
        <w:t xml:space="preserve">7. Compliance and Enforcement</w:t>
      </w:r>
    </w:p>
    <w:p>
      <w:pPr>
        <w:spacing w:after="100" w:before="60"/>
      </w:pPr>
      <w:r>
        <w:rPr>
          <w:sz w:val="20"/>
          <w:szCs w:val="20"/>
        </w:rPr>
        <w:t xml:space="preserve">Violations of this policy may result in disciplinary action up to and including termination of employment or contract. Zava will cooperate fully with regulatory authorities in the event of an inquiry related to records management practices.</w:t>
      </w:r>
    </w:p>
    <w:p>
      <w:pPr>
        <w:spacing w:after="100" w:before="60"/>
      </w:pPr>
      <w:r>
        <w:rPr>
          <w:sz w:val="20"/>
          <w:szCs w:val="20"/>
        </w:rPr>
        <w:t xml:space="preserve">The Compliance team will conduct annual policy compliance audits and will report findings to the Executive Risk Committee. Material gaps identified during external audits will be escalated to the Board Risk Committee within 30 days.</w:t>
      </w:r>
    </w:p>
    <w:p>
      <w:pPr>
        <w:spacing w:after="60" w:before="60"/>
      </w:pPr>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tblGrid>
      <w:tr>
        <w:tc>
          <w:tcPr>
            <w:tcBorders>
              <w:top w:val="single" w:color="CC0000" w:sz="12"/>
              <w:left w:val="thick" w:color="CC0000" w:sz="24"/>
              <w:bottom w:val="single" w:color="CC0000" w:sz="6"/>
              <w:right w:val="none" w:color="FFFFFF" w:sz="0"/>
            </w:tcBorders>
            <w:shd w:fill="FFE8E8" w:val="clear"/>
          </w:tcPr>
          <w:p>
            <w:r>
              <w:rPr>
                <w:b/>
                <w:bCs/>
                <w:color w:val="555500"/>
                <w:sz w:val="18"/>
                <w:szCs w:val="18"/>
              </w:rPr>
              <w:t xml:space="preserve">📋  AUDIT NOTE — Known Gaps as of Q3 2025</w:t>
            </w:r>
          </w:p>
          <w:p>
            <w:r>
              <w:rPr>
                <w:color w:val="333300"/>
                <w:sz w:val="18"/>
                <w:szCs w:val="18"/>
              </w:rPr>
              <w:t xml:space="preserve">The following areas have been identified as not fully compliant with this policy and are under active remediation: (1) SharePoint unstructured data — auto-labeling not yet deployed; (2) Legacy archive system — records from pre-2018 not yet tagged for automated purge. See Risk Register items R-001 and R-009.</w:t>
            </w:r>
          </w:p>
        </w:tc>
      </w:tr>
    </w:tbl>
    <w:p>
      <w:pPr>
        <w:spacing w:after="60" w:before="60"/>
      </w:pPr>
      <w:r>
        <w:t xml:space="preserve"/>
      </w:r>
    </w:p>
    <w:p>
      <w:pPr>
        <w:pStyle w:val="Heading1"/>
        <w:spacing w:after="100" w:before="280"/>
      </w:pPr>
      <w:r>
        <w:rPr>
          <w:b/>
          <w:bCs/>
          <w:color w:val="1F3864"/>
          <w:sz w:val="28"/>
          <w:szCs w:val="28"/>
        </w:rPr>
        <w:t xml:space="preserve">8. Policy Review</w:t>
      </w:r>
    </w:p>
    <w:p>
      <w:pPr>
        <w:spacing w:after="100" w:before="60"/>
      </w:pPr>
      <w:r>
        <w:rPr>
          <w:sz w:val="20"/>
          <w:szCs w:val="20"/>
        </w:rPr>
        <w:t xml:space="preserve">This policy will be reviewed annually by the Chief Compliance Officer, or sooner if triggered by material regulatory change, significant audit finding, or business change affecting data retention obligations. The next scheduled review is March 2026.</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888888"/>
        <w:sz w:val="16"/>
        <w:szCs w:val="16"/>
      </w:rPr>
      <w:t xml:space="preserve">Page </w:t>
    </w:r>
    <w:r>
      <w:rPr>
        <w:color w:val="888888"/>
        <w:sz w:val="16"/>
        <w:szCs w:val="16"/>
      </w:rPr>
      <w:fldChar w:fldCharType="begin"/>
      <w:instrText xml:space="preserve">PAGE</w:instrText>
      <w:fldChar w:fldCharType="separate"/>
      <w:fldChar w:fldCharType="end"/>
    </w:r>
    <w:r>
      <w:rPr>
        <w:color w:val="888888"/>
        <w:sz w:val="16"/>
        <w:szCs w:val="16"/>
      </w:rPr>
      <w:t xml:space="preserve">  |  Classification: CONFIDENTIAL  |  Do not distribute without authorization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r>
      <w:rPr>
        <w:color w:val="888888"/>
        <w:sz w:val="16"/>
        <w:szCs w:val="16"/>
      </w:rPr>
      <w:t xml:space="preserve">ZAVA FINANCIAL SERVICES  |  CONFIDENTIAL</w:t>
    </w:r>
    <w:r>
      <w:rPr>
        <w:color w:val="888888"/>
        <w:sz w:val="16"/>
        <w:szCs w:val="16"/>
      </w:rPr>
      <w:t xml:space="preserve">    Data Retention &amp; Disposition Policy v2.3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2026-03-31T15:48:28.515Z</dcterms:created>
  <dcterms:modified xsi:type="dcterms:W3CDTF">2026-03-31T15:48:28.516Z</dcterms:modified>
</cp:coreProperties>
</file>

<file path=docProps/custom.xml><?xml version="1.0" encoding="utf-8"?>
<Properties xmlns="http://schemas.openxmlformats.org/officeDocument/2006/custom-properties" xmlns:vt="http://schemas.openxmlformats.org/officeDocument/2006/docPropsVTypes"/>
</file>