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pPr>
      <w:r>
        <w:rPr>
          <w:b/>
          <w:bCs/>
          <w:color w:val="1F2430"/>
          <w:sz w:val="44"/>
          <w:szCs w:val="44"/>
        </w:rPr>
        <w:t xml:space="preserve">Statistical QA Report</w:t>
      </w:r>
    </w:p>
    <w:p>
      <w:pPr>
        <w:spacing w:after="300"/>
      </w:pPr>
      <w:r>
        <w:rPr>
          <w:color w:val="5B6270"/>
          <w:sz w:val="22"/>
          <w:szCs w:val="22"/>
        </w:rPr>
        <w:t xml:space="preserve">Pre-submission statistical review — sample deliverable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400"/>
        <w:gridCol w:w="2200"/>
        <w:gridCol w:w="1560"/>
      </w:tblGrid>
      <w:tr>
        <w:tc>
          <w:tcPr>
            <w:tcW w:type="dxa" w:w="2200"/>
            <w:tcBorders>
              <w:top w:val="single" w:color="D8DCE3" w:sz="4"/>
              <w:left w:val="single" w:color="D8DCE3" w:sz="4"/>
              <w:bottom w:val="single" w:color="D8DCE3" w:sz="4"/>
              <w:right w:val="single" w:color="D8DCE3" w:sz="4"/>
            </w:tcBorders>
            <w:shd w:fill="F1F0EA" w:val="clear"/>
            <w:tcMar>
              <w:top w:type="dxa" w:w="100"/>
              <w:left w:type="dxa" w:w="120"/>
              <w:bottom w:type="dxa" w:w="100"/>
              <w:right w:type="dxa" w:w="120"/>
            </w:tcMar>
            <w:vAlign w:val="center"/>
          </w:tcPr>
          <w:p>
            <w:pPr>
              <w:jc w:val="left"/>
            </w:pPr>
            <w:r>
              <w:rPr>
                <w:b/>
                <w:bCs/>
                <w:color w:val="5B6270"/>
                <w:sz w:val="16"/>
                <w:szCs w:val="16"/>
              </w:rPr>
              <w:t xml:space="preserve">Manuscript</w:t>
            </w:r>
          </w:p>
        </w:tc>
        <w:tc>
          <w:tcPr>
            <w:tcW w:type="dxa" w:w="340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The Effects of a Classroom Intervention on Student Motivation: A Multilevel Analysis</w:t>
            </w:r>
          </w:p>
        </w:tc>
        <w:tc>
          <w:tcPr>
            <w:tcW w:type="dxa" w:w="2200"/>
            <w:tcBorders>
              <w:top w:val="single" w:color="D8DCE3" w:sz="4"/>
              <w:left w:val="single" w:color="D8DCE3" w:sz="4"/>
              <w:bottom w:val="single" w:color="D8DCE3" w:sz="4"/>
              <w:right w:val="single" w:color="D8DCE3" w:sz="4"/>
            </w:tcBorders>
            <w:shd w:fill="F1F0EA" w:val="clear"/>
            <w:tcMar>
              <w:top w:type="dxa" w:w="100"/>
              <w:left w:type="dxa" w:w="120"/>
              <w:bottom w:type="dxa" w:w="100"/>
              <w:right w:type="dxa" w:w="120"/>
            </w:tcMar>
            <w:vAlign w:val="center"/>
          </w:tcPr>
          <w:p>
            <w:pPr>
              <w:jc w:val="left"/>
            </w:pPr>
            <w:r>
              <w:rPr>
                <w:b/>
                <w:bCs/>
                <w:color w:val="5B6270"/>
                <w:sz w:val="16"/>
                <w:szCs w:val="16"/>
              </w:rPr>
              <w:t xml:space="preserve">Tier</w:t>
            </w:r>
          </w:p>
        </w:tc>
        <w:tc>
          <w:tcPr>
            <w:tcW w:type="dxa" w:w="156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Moderate</w:t>
            </w:r>
          </w:p>
        </w:tc>
      </w:tr>
      <w:tr>
        <w:tc>
          <w:tcPr>
            <w:tcW w:type="dxa" w:w="2200"/>
            <w:tcBorders>
              <w:top w:val="single" w:color="D8DCE3" w:sz="4"/>
              <w:left w:val="single" w:color="D8DCE3" w:sz="4"/>
              <w:bottom w:val="single" w:color="D8DCE3" w:sz="4"/>
              <w:right w:val="single" w:color="D8DCE3" w:sz="4"/>
            </w:tcBorders>
            <w:shd w:fill="F1F0EA" w:val="clear"/>
            <w:tcMar>
              <w:top w:type="dxa" w:w="100"/>
              <w:left w:type="dxa" w:w="120"/>
              <w:bottom w:type="dxa" w:w="100"/>
              <w:right w:type="dxa" w:w="120"/>
            </w:tcMar>
            <w:vAlign w:val="center"/>
          </w:tcPr>
          <w:p>
            <w:pPr>
              <w:jc w:val="left"/>
            </w:pPr>
            <w:r>
              <w:rPr>
                <w:b/>
                <w:bCs/>
                <w:color w:val="5B6270"/>
                <w:sz w:val="16"/>
                <w:szCs w:val="16"/>
              </w:rPr>
              <w:t xml:space="preserve">Reviewer</w:t>
            </w:r>
          </w:p>
        </w:tc>
        <w:tc>
          <w:tcPr>
            <w:tcW w:type="dxa" w:w="340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Nedim Yel, PhD</w:t>
            </w:r>
          </w:p>
        </w:tc>
        <w:tc>
          <w:tcPr>
            <w:tcW w:type="dxa" w:w="2200"/>
            <w:tcBorders>
              <w:top w:val="single" w:color="D8DCE3" w:sz="4"/>
              <w:left w:val="single" w:color="D8DCE3" w:sz="4"/>
              <w:bottom w:val="single" w:color="D8DCE3" w:sz="4"/>
              <w:right w:val="single" w:color="D8DCE3" w:sz="4"/>
            </w:tcBorders>
            <w:shd w:fill="F1F0EA" w:val="clear"/>
            <w:tcMar>
              <w:top w:type="dxa" w:w="100"/>
              <w:left w:type="dxa" w:w="120"/>
              <w:bottom w:type="dxa" w:w="100"/>
              <w:right w:type="dxa" w:w="120"/>
            </w:tcMar>
            <w:vAlign w:val="center"/>
          </w:tcPr>
          <w:p>
            <w:pPr>
              <w:jc w:val="left"/>
            </w:pPr>
            <w:r>
              <w:rPr>
                <w:b/>
                <w:bCs/>
                <w:color w:val="5B6270"/>
                <w:sz w:val="16"/>
                <w:szCs w:val="16"/>
              </w:rPr>
              <w:t xml:space="preserve">Report date</w:t>
            </w:r>
          </w:p>
        </w:tc>
        <w:tc>
          <w:tcPr>
            <w:tcW w:type="dxa" w:w="156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Sample</w:t>
            </w:r>
          </w:p>
        </w:tc>
      </w:tr>
      <w:tr>
        <w:tc>
          <w:tcPr>
            <w:tcW w:type="dxa" w:w="2200"/>
            <w:tcBorders>
              <w:top w:val="single" w:color="D8DCE3" w:sz="4"/>
              <w:left w:val="single" w:color="D8DCE3" w:sz="4"/>
              <w:bottom w:val="single" w:color="D8DCE3" w:sz="4"/>
              <w:right w:val="single" w:color="D8DCE3" w:sz="4"/>
            </w:tcBorders>
            <w:shd w:fill="F1F0EA" w:val="clear"/>
            <w:tcMar>
              <w:top w:type="dxa" w:w="100"/>
              <w:left w:type="dxa" w:w="120"/>
              <w:bottom w:type="dxa" w:w="100"/>
              <w:right w:type="dxa" w:w="120"/>
            </w:tcMar>
            <w:vAlign w:val="center"/>
          </w:tcPr>
          <w:p>
            <w:pPr>
              <w:jc w:val="left"/>
            </w:pPr>
            <w:r>
              <w:rPr>
                <w:b/>
                <w:bCs/>
                <w:color w:val="5B6270"/>
                <w:sz w:val="16"/>
                <w:szCs w:val="16"/>
              </w:rPr>
              <w:t xml:space="preserve">Sections reviewed</w:t>
            </w:r>
          </w:p>
        </w:tc>
        <w:tc>
          <w:tcPr>
            <w:tcW w:type="dxa" w:w="340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Methods, Results, Tables 2–4</w:t>
            </w:r>
          </w:p>
        </w:tc>
        <w:tc>
          <w:tcPr>
            <w:tcW w:type="dxa" w:w="2200"/>
            <w:tcBorders>
              <w:top w:val="single" w:color="D8DCE3" w:sz="4"/>
              <w:left w:val="single" w:color="D8DCE3" w:sz="4"/>
              <w:bottom w:val="single" w:color="D8DCE3" w:sz="4"/>
              <w:right w:val="single" w:color="D8DCE3" w:sz="4"/>
            </w:tcBorders>
            <w:shd w:fill="F1F0EA" w:val="clear"/>
            <w:tcMar>
              <w:top w:type="dxa" w:w="100"/>
              <w:left w:type="dxa" w:w="120"/>
              <w:bottom w:type="dxa" w:w="100"/>
              <w:right w:type="dxa" w:w="120"/>
            </w:tcMar>
            <w:vAlign w:val="center"/>
          </w:tcPr>
          <w:p>
            <w:pPr>
              <w:jc w:val="left"/>
            </w:pPr>
            <w:r>
              <w:rPr>
                <w:b/>
                <w:bCs/>
                <w:color w:val="5B6270"/>
                <w:sz w:val="16"/>
                <w:szCs w:val="16"/>
              </w:rPr>
              <w:t xml:space="preserve">Status</w:t>
            </w:r>
          </w:p>
        </w:tc>
        <w:tc>
          <w:tcPr>
            <w:tcW w:type="dxa" w:w="156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bCs/>
                <w:color w:val="2F6F4E"/>
                <w:sz w:val="19"/>
                <w:szCs w:val="19"/>
              </w:rPr>
              <w:t xml:space="preserve">Complete</w:t>
            </w:r>
          </w:p>
        </w:tc>
      </w:tr>
    </w:tbl>
    <w:p>
      <w:pPr>
        <w:spacing w:after="120" w:before="360"/>
      </w:pPr>
      <w:r>
        <w:rPr>
          <w:b/>
          <w:bCs/>
          <w:color w:val="5B6270"/>
          <w:spacing w:val="20"/>
          <w:sz w:val="18"/>
          <w:szCs w:val="18"/>
        </w:rPr>
        <w:t xml:space="preserve">SCOPE OF REVIEW</w:t>
      </w:r>
    </w:p>
    <w:p>
      <w:pPr>
        <w:spacing w:after="160"/>
      </w:pPr>
      <w:r>
        <w:rPr>
          <w:color w:val="1F2430"/>
          <w:sz w:val="21"/>
          <w:szCs w:val="21"/>
        </w:rPr>
        <w:t xml:space="preserve">This review covers the statistical reporting, model specification, and internal consistency of the Methods and Results sections and Tables 2 through 4. It does not evaluate the underlying research design, theoretical framing, or substantive interpretation of findings — only the statistical accuracy and reporting completeness of what is presented.</w:t>
      </w:r>
    </w:p>
    <w:p>
      <w:pPr>
        <w:spacing w:after="120" w:before="360"/>
      </w:pPr>
      <w:r>
        <w:rPr>
          <w:b/>
          <w:bCs/>
          <w:color w:val="5B6270"/>
          <w:spacing w:val="20"/>
          <w:sz w:val="18"/>
          <w:szCs w:val="18"/>
        </w:rPr>
        <w:t xml:space="preserve">SUMMARY OF FINDINGS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4560"/>
        <w:gridCol w:w="1900"/>
        <w:gridCol w:w="1700"/>
      </w:tblGrid>
      <w:tr>
        <w:tc>
          <w:tcPr>
            <w:tcW w:type="dxa" w:w="1200"/>
            <w:tcBorders>
              <w:top w:val="single" w:color="D8DCE3" w:sz="4"/>
              <w:left w:val="single" w:color="D8DCE3" w:sz="4"/>
              <w:bottom w:val="single" w:color="D8DCE3" w:sz="4"/>
              <w:right w:val="single" w:color="D8DCE3" w:sz="4"/>
            </w:tcBorders>
            <w:shd w:fill="1F2430" w:val="clear"/>
            <w:tcMar>
              <w:top w:type="dxa" w:w="100"/>
              <w:left w:type="dxa" w:w="120"/>
              <w:bottom w:type="dxa" w:w="100"/>
              <w:right w:type="dxa" w:w="120"/>
            </w:tcMar>
            <w:vAlign w:val="center"/>
          </w:tcPr>
          <w:p>
            <w:pPr>
              <w:jc w:val="left"/>
            </w:pPr>
            <w:r>
              <w:rPr>
                <w:b/>
                <w:bCs/>
                <w:color w:val="FFFFFF"/>
                <w:sz w:val="16"/>
                <w:szCs w:val="16"/>
              </w:rPr>
              <w:t xml:space="preserve">#</w:t>
            </w:r>
          </w:p>
        </w:tc>
        <w:tc>
          <w:tcPr>
            <w:tcW w:type="dxa" w:w="4560"/>
            <w:tcBorders>
              <w:top w:val="single" w:color="D8DCE3" w:sz="4"/>
              <w:left w:val="single" w:color="D8DCE3" w:sz="4"/>
              <w:bottom w:val="single" w:color="D8DCE3" w:sz="4"/>
              <w:right w:val="single" w:color="D8DCE3" w:sz="4"/>
            </w:tcBorders>
            <w:shd w:fill="1F2430" w:val="clear"/>
            <w:tcMar>
              <w:top w:type="dxa" w:w="100"/>
              <w:left w:type="dxa" w:w="120"/>
              <w:bottom w:type="dxa" w:w="100"/>
              <w:right w:type="dxa" w:w="120"/>
            </w:tcMar>
            <w:vAlign w:val="center"/>
          </w:tcPr>
          <w:p>
            <w:pPr>
              <w:jc w:val="left"/>
            </w:pPr>
            <w:r>
              <w:rPr>
                <w:b/>
                <w:bCs/>
                <w:color w:val="FFFFFF"/>
                <w:sz w:val="16"/>
                <w:szCs w:val="16"/>
              </w:rPr>
              <w:t xml:space="preserve">Issue</w:t>
            </w:r>
          </w:p>
        </w:tc>
        <w:tc>
          <w:tcPr>
            <w:tcW w:type="dxa" w:w="1900"/>
            <w:tcBorders>
              <w:top w:val="single" w:color="D8DCE3" w:sz="4"/>
              <w:left w:val="single" w:color="D8DCE3" w:sz="4"/>
              <w:bottom w:val="single" w:color="D8DCE3" w:sz="4"/>
              <w:right w:val="single" w:color="D8DCE3" w:sz="4"/>
            </w:tcBorders>
            <w:shd w:fill="1F2430" w:val="clear"/>
            <w:tcMar>
              <w:top w:type="dxa" w:w="100"/>
              <w:left w:type="dxa" w:w="120"/>
              <w:bottom w:type="dxa" w:w="100"/>
              <w:right w:type="dxa" w:w="120"/>
            </w:tcMar>
            <w:vAlign w:val="center"/>
          </w:tcPr>
          <w:p>
            <w:pPr>
              <w:jc w:val="left"/>
            </w:pPr>
            <w:r>
              <w:rPr>
                <w:b/>
                <w:bCs/>
                <w:color w:val="FFFFFF"/>
                <w:sz w:val="16"/>
                <w:szCs w:val="16"/>
              </w:rPr>
              <w:t xml:space="preserve">Location</w:t>
            </w:r>
          </w:p>
        </w:tc>
        <w:tc>
          <w:tcPr>
            <w:tcW w:type="dxa" w:w="1700"/>
            <w:tcBorders>
              <w:top w:val="single" w:color="D8DCE3" w:sz="4"/>
              <w:left w:val="single" w:color="D8DCE3" w:sz="4"/>
              <w:bottom w:val="single" w:color="D8DCE3" w:sz="4"/>
              <w:right w:val="single" w:color="D8DCE3" w:sz="4"/>
            </w:tcBorders>
            <w:shd w:fill="1F2430" w:val="clear"/>
            <w:tcMar>
              <w:top w:type="dxa" w:w="100"/>
              <w:left w:type="dxa" w:w="120"/>
              <w:bottom w:type="dxa" w:w="100"/>
              <w:right w:type="dxa" w:w="120"/>
            </w:tcMar>
            <w:vAlign w:val="center"/>
          </w:tcPr>
          <w:p>
            <w:pPr>
              <w:jc w:val="left"/>
            </w:pPr>
            <w:r>
              <w:rPr>
                <w:b/>
                <w:bCs/>
                <w:color w:val="FFFFFF"/>
                <w:sz w:val="16"/>
                <w:szCs w:val="16"/>
              </w:rPr>
              <w:t xml:space="preserve">Status</w:t>
            </w:r>
          </w:p>
        </w:tc>
      </w:tr>
      <w:tr>
        <w:tc>
          <w:tcPr>
            <w:tcW w:type="dxa" w:w="120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1</w:t>
            </w:r>
          </w:p>
        </w:tc>
        <w:tc>
          <w:tcPr>
            <w:tcW w:type="dxa" w:w="456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Reported degrees of freedom (df = 42) do not match sample size in Table 2 (N = 39, df = 38)</w:t>
            </w:r>
          </w:p>
        </w:tc>
        <w:tc>
          <w:tcPr>
            <w:tcW w:type="dxa" w:w="190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p. 11, Table 2</w:t>
            </w:r>
          </w:p>
        </w:tc>
        <w:tc>
          <w:tcPr>
            <w:tcW w:type="dxa" w:w="1700"/>
            <w:tcBorders>
              <w:top w:val="single" w:color="D8DCE3" w:sz="4"/>
              <w:left w:val="single" w:color="D8DCE3" w:sz="4"/>
              <w:bottom w:val="single" w:color="D8DCE3" w:sz="4"/>
              <w:right w:val="single" w:color="D8DCE3" w:sz="4"/>
            </w:tcBorders>
            <w:shd w:fill="F6E4E1" w:val="clear"/>
            <w:tcMar>
              <w:top w:type="dxa" w:w="100"/>
              <w:left w:type="dxa" w:w="120"/>
              <w:bottom w:type="dxa" w:w="100"/>
              <w:right w:type="dxa" w:w="120"/>
            </w:tcMar>
            <w:vAlign w:val="center"/>
          </w:tcPr>
          <w:p>
            <w:pPr>
              <w:jc w:val="left"/>
            </w:pPr>
            <w:r>
              <w:rPr>
                <w:b/>
                <w:bCs/>
                <w:color w:val="C1392B"/>
                <w:sz w:val="19"/>
                <w:szCs w:val="19"/>
              </w:rPr>
              <w:t xml:space="preserve">Flagged</w:t>
            </w:r>
          </w:p>
        </w:tc>
      </w:tr>
      <w:tr>
        <w:tc>
          <w:tcPr>
            <w:tcW w:type="dxa" w:w="120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2</w:t>
            </w:r>
          </w:p>
        </w:tc>
        <w:tc>
          <w:tcPr>
            <w:tcW w:type="dxa" w:w="456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No correction method stated for post hoc pairwise comparisons across 4 groups</w:t>
            </w:r>
          </w:p>
        </w:tc>
        <w:tc>
          <w:tcPr>
            <w:tcW w:type="dxa" w:w="190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p. 12</w:t>
            </w:r>
          </w:p>
        </w:tc>
        <w:tc>
          <w:tcPr>
            <w:tcW w:type="dxa" w:w="1700"/>
            <w:tcBorders>
              <w:top w:val="single" w:color="D8DCE3" w:sz="4"/>
              <w:left w:val="single" w:color="D8DCE3" w:sz="4"/>
              <w:bottom w:val="single" w:color="D8DCE3" w:sz="4"/>
              <w:right w:val="single" w:color="D8DCE3" w:sz="4"/>
            </w:tcBorders>
            <w:shd w:fill="F6E4E1" w:val="clear"/>
            <w:tcMar>
              <w:top w:type="dxa" w:w="100"/>
              <w:left w:type="dxa" w:w="120"/>
              <w:bottom w:type="dxa" w:w="100"/>
              <w:right w:type="dxa" w:w="120"/>
            </w:tcMar>
            <w:vAlign w:val="center"/>
          </w:tcPr>
          <w:p>
            <w:pPr>
              <w:jc w:val="left"/>
            </w:pPr>
            <w:r>
              <w:rPr>
                <w:b/>
                <w:bCs/>
                <w:color w:val="C1392B"/>
                <w:sz w:val="19"/>
                <w:szCs w:val="19"/>
              </w:rPr>
              <w:t xml:space="preserve">Flagged</w:t>
            </w:r>
          </w:p>
        </w:tc>
      </w:tr>
      <w:tr>
        <w:tc>
          <w:tcPr>
            <w:tcW w:type="dxa" w:w="120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3</w:t>
            </w:r>
          </w:p>
        </w:tc>
        <w:tc>
          <w:tcPr>
            <w:tcW w:type="dxa" w:w="456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ICC not reported for multilevel model despite clustering by classroom</w:t>
            </w:r>
          </w:p>
        </w:tc>
        <w:tc>
          <w:tcPr>
            <w:tcW w:type="dxa" w:w="190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p. 13</w:t>
            </w:r>
          </w:p>
        </w:tc>
        <w:tc>
          <w:tcPr>
            <w:tcW w:type="dxa" w:w="1700"/>
            <w:tcBorders>
              <w:top w:val="single" w:color="D8DCE3" w:sz="4"/>
              <w:left w:val="single" w:color="D8DCE3" w:sz="4"/>
              <w:bottom w:val="single" w:color="D8DCE3" w:sz="4"/>
              <w:right w:val="single" w:color="D8DCE3" w:sz="4"/>
            </w:tcBorders>
            <w:shd w:fill="F6E4E1" w:val="clear"/>
            <w:tcMar>
              <w:top w:type="dxa" w:w="100"/>
              <w:left w:type="dxa" w:w="120"/>
              <w:bottom w:type="dxa" w:w="100"/>
              <w:right w:type="dxa" w:w="120"/>
            </w:tcMar>
            <w:vAlign w:val="center"/>
          </w:tcPr>
          <w:p>
            <w:pPr>
              <w:jc w:val="left"/>
            </w:pPr>
            <w:r>
              <w:rPr>
                <w:b/>
                <w:bCs/>
                <w:color w:val="C1392B"/>
                <w:sz w:val="19"/>
                <w:szCs w:val="19"/>
              </w:rPr>
              <w:t xml:space="preserve">Flagged</w:t>
            </w:r>
          </w:p>
        </w:tc>
      </w:tr>
      <w:tr>
        <w:tc>
          <w:tcPr>
            <w:tcW w:type="dxa" w:w="120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4</w:t>
            </w:r>
          </w:p>
        </w:tc>
        <w:tc>
          <w:tcPr>
            <w:tcW w:type="dxa" w:w="456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Effect sizes and 95% CIs reported consistently and match APA 7th edition formatting</w:t>
            </w:r>
          </w:p>
        </w:tc>
        <w:tc>
          <w:tcPr>
            <w:tcW w:type="dxa" w:w="190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Throughout</w:t>
            </w:r>
          </w:p>
        </w:tc>
        <w:tc>
          <w:tcPr>
            <w:tcW w:type="dxa" w:w="1700"/>
            <w:tcBorders>
              <w:top w:val="single" w:color="D8DCE3" w:sz="4"/>
              <w:left w:val="single" w:color="D8DCE3" w:sz="4"/>
              <w:bottom w:val="single" w:color="D8DCE3" w:sz="4"/>
              <w:right w:val="single" w:color="D8DCE3" w:sz="4"/>
            </w:tcBorders>
            <w:shd w:fill="E4EFE8" w:val="clear"/>
            <w:tcMar>
              <w:top w:type="dxa" w:w="100"/>
              <w:left w:type="dxa" w:w="120"/>
              <w:bottom w:type="dxa" w:w="100"/>
              <w:right w:type="dxa" w:w="120"/>
            </w:tcMar>
            <w:vAlign w:val="center"/>
          </w:tcPr>
          <w:p>
            <w:pPr>
              <w:jc w:val="left"/>
            </w:pPr>
            <w:r>
              <w:rPr>
                <w:b/>
                <w:bCs/>
                <w:color w:val="2F6F4E"/>
                <w:sz w:val="19"/>
                <w:szCs w:val="19"/>
              </w:rPr>
              <w:t xml:space="preserve">Passed</w:t>
            </w:r>
          </w:p>
        </w:tc>
      </w:tr>
      <w:tr>
        <w:tc>
          <w:tcPr>
            <w:tcW w:type="dxa" w:w="120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5</w:t>
            </w:r>
          </w:p>
        </w:tc>
        <w:tc>
          <w:tcPr>
            <w:tcW w:type="dxa" w:w="456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Missing data handling (FIML) clearly described and appropriate for the design</w:t>
            </w:r>
          </w:p>
        </w:tc>
        <w:tc>
          <w:tcPr>
            <w:tcW w:type="dxa" w:w="1900"/>
            <w:tcBorders>
              <w:top w:val="single" w:color="D8DCE3" w:sz="4"/>
              <w:left w:val="single" w:color="D8DCE3" w:sz="4"/>
              <w:bottom w:val="single" w:color="D8DCE3" w:sz="4"/>
              <w:right w:val="single" w:color="D8DCE3" w:sz="4"/>
            </w:tcBorders>
            <w:tcMar>
              <w:top w:type="dxa" w:w="100"/>
              <w:left w:type="dxa" w:w="120"/>
              <w:bottom w:type="dxa" w:w="100"/>
              <w:right w:type="dxa" w:w="120"/>
            </w:tcMar>
            <w:vAlign w:val="center"/>
          </w:tcPr>
          <w:p>
            <w:pPr>
              <w:jc w:val="left"/>
            </w:pPr>
            <w:r>
              <w:rPr>
                <w:b w:val="false"/>
                <w:bCs w:val="false"/>
                <w:color w:val="1F2430"/>
                <w:sz w:val="19"/>
                <w:szCs w:val="19"/>
              </w:rPr>
              <w:t xml:space="preserve">p. 10</w:t>
            </w:r>
          </w:p>
        </w:tc>
        <w:tc>
          <w:tcPr>
            <w:tcW w:type="dxa" w:w="1700"/>
            <w:tcBorders>
              <w:top w:val="single" w:color="D8DCE3" w:sz="4"/>
              <w:left w:val="single" w:color="D8DCE3" w:sz="4"/>
              <w:bottom w:val="single" w:color="D8DCE3" w:sz="4"/>
              <w:right w:val="single" w:color="D8DCE3" w:sz="4"/>
            </w:tcBorders>
            <w:shd w:fill="E4EFE8" w:val="clear"/>
            <w:tcMar>
              <w:top w:type="dxa" w:w="100"/>
              <w:left w:type="dxa" w:w="120"/>
              <w:bottom w:type="dxa" w:w="100"/>
              <w:right w:type="dxa" w:w="120"/>
            </w:tcMar>
            <w:vAlign w:val="center"/>
          </w:tcPr>
          <w:p>
            <w:pPr>
              <w:jc w:val="left"/>
            </w:pPr>
            <w:r>
              <w:rPr>
                <w:b/>
                <w:bCs/>
                <w:color w:val="2F6F4E"/>
                <w:sz w:val="19"/>
                <w:szCs w:val="19"/>
              </w:rPr>
              <w:t xml:space="preserve">Passed</w:t>
            </w:r>
          </w:p>
        </w:tc>
      </w:tr>
    </w:tbl>
    <w:p>
      <w:pPr>
        <w:spacing w:after="120" w:before="360"/>
      </w:pPr>
      <w:r>
        <w:rPr>
          <w:b/>
          <w:bCs/>
          <w:color w:val="5B6270"/>
          <w:spacing w:val="20"/>
          <w:sz w:val="18"/>
          <w:szCs w:val="18"/>
        </w:rPr>
        <w:t xml:space="preserve">DETAILED FINDINGS</w:t>
      </w:r>
    </w:p>
    <w:p>
      <w:pPr>
        <w:spacing w:after="40" w:before="200"/>
      </w:pPr>
      <w:r>
        <w:rPr>
          <w:b/>
          <w:bCs/>
          <w:color w:val="1F2430"/>
          <w:sz w:val="22"/>
          <w:szCs w:val="22"/>
        </w:rPr>
        <w:t xml:space="preserve">Finding 1 — Degrees of freedom mismatch</w:t>
      </w:r>
    </w:p>
    <w:p>
      <w:pPr>
        <w:spacing w:after="160"/>
      </w:pPr>
      <w:r>
        <w:rPr>
          <w:color w:val="1F2430"/>
          <w:sz w:val="21"/>
          <w:szCs w:val="21"/>
        </w:rPr>
        <w:t xml:space="preserve">The Results section reports F(2, 42) for the primary ANOVA, but Table 2 lists N = 39 for the same analysis, which implies df = 38, not 42. This kind of mismatch is one of the most common triggers for a statistical reviewer request during peer review.</w:t>
      </w:r>
    </w:p>
    <w:p>
      <w:pPr>
        <w:spacing w:after="200"/>
      </w:pPr>
      <w:r>
        <w:rPr>
          <w:b/>
          <w:bCs/>
          <w:color w:val="1F2430"/>
          <w:sz w:val="21"/>
          <w:szCs w:val="21"/>
        </w:rPr>
        <w:t xml:space="preserve">Suggested fix: </w:t>
      </w:r>
      <w:r>
        <w:rPr>
          <w:color w:val="1F2430"/>
          <w:sz w:val="21"/>
          <w:szCs w:val="21"/>
        </w:rPr>
        <w:t xml:space="preserve">Confirm which N was used in the final model (with listwise deletion applied or not) and correct either the text or Table 2 so both match exactly.</w:t>
      </w:r>
    </w:p>
    <w:p>
      <w:pPr>
        <w:spacing w:after="40" w:before="160"/>
      </w:pPr>
      <w:r>
        <w:rPr>
          <w:b/>
          <w:bCs/>
          <w:color w:val="1F2430"/>
          <w:sz w:val="22"/>
          <w:szCs w:val="22"/>
        </w:rPr>
        <w:t xml:space="preserve">Finding 2 — Uncorrected multiple comparisons</w:t>
      </w:r>
    </w:p>
    <w:p>
      <w:pPr>
        <w:spacing w:after="160"/>
      </w:pPr>
      <w:r>
        <w:rPr>
          <w:color w:val="1F2430"/>
          <w:sz w:val="21"/>
          <w:szCs w:val="21"/>
        </w:rPr>
        <w:t xml:space="preserve">Post hoc pairwise comparisons are reported across four intervention groups without a stated correction method (e.g., Tukey, Bonferroni, Holm). Running six pairwise tests without correction inflates the family-wise error rate substantially above the nominal .05 threshold.</w:t>
      </w:r>
    </w:p>
    <w:p>
      <w:pPr>
        <w:spacing w:after="200"/>
      </w:pPr>
      <w:r>
        <w:rPr>
          <w:b/>
          <w:bCs/>
          <w:color w:val="1F2430"/>
          <w:sz w:val="21"/>
          <w:szCs w:val="21"/>
        </w:rPr>
        <w:t xml:space="preserve">Suggested fix: </w:t>
      </w:r>
      <w:r>
        <w:rPr>
          <w:color w:val="1F2430"/>
          <w:sz w:val="21"/>
          <w:szCs w:val="21"/>
        </w:rPr>
        <w:t xml:space="preserve">Apply and report a correction method, or justify why uncorrected comparisons are appropriate for this design (e.g., pre-registered planned contrasts).</w:t>
      </w:r>
    </w:p>
    <w:p>
      <w:pPr>
        <w:spacing w:after="40" w:before="160"/>
      </w:pPr>
      <w:r>
        <w:rPr>
          <w:b/>
          <w:bCs/>
          <w:color w:val="1F2430"/>
          <w:sz w:val="22"/>
          <w:szCs w:val="22"/>
        </w:rPr>
        <w:t xml:space="preserve">Finding 3 — Missing intraclass correlation (ICC)</w:t>
      </w:r>
    </w:p>
    <w:p>
      <w:pPr>
        <w:spacing w:after="160"/>
      </w:pPr>
      <w:r>
        <w:rPr>
          <w:color w:val="1F2430"/>
          <w:sz w:val="21"/>
          <w:szCs w:val="21"/>
        </w:rPr>
        <w:t xml:space="preserve">The multilevel model clusters students within classrooms but does not report the ICC from the unconditional (null) model. Reviewers in education and school psychology routinely expect the ICC to justify the multilevel approach itself.</w:t>
      </w:r>
    </w:p>
    <w:p>
      <w:pPr>
        <w:spacing w:after="200"/>
      </w:pPr>
      <w:r>
        <w:rPr>
          <w:b/>
          <w:bCs/>
          <w:color w:val="1F2430"/>
          <w:sz w:val="21"/>
          <w:szCs w:val="21"/>
        </w:rPr>
        <w:t xml:space="preserve">Suggested fix: </w:t>
      </w:r>
      <w:r>
        <w:rPr>
          <w:color w:val="1F2430"/>
          <w:sz w:val="21"/>
          <w:szCs w:val="21"/>
        </w:rPr>
        <w:t xml:space="preserve">Report the ICC from the null model alongside the design effect, briefly noting the proportion of variance attributable to classroom-level clustering.</w:t>
      </w:r>
    </w:p>
    <w:p>
      <w:pPr>
        <w:spacing w:after="120" w:before="360"/>
      </w:pPr>
      <w:r>
        <w:rPr>
          <w:b/>
          <w:bCs/>
          <w:color w:val="5B6270"/>
          <w:spacing w:val="20"/>
          <w:sz w:val="18"/>
          <w:szCs w:val="18"/>
        </w:rPr>
        <w:t xml:space="preserve">OVERALL RECOMMENDATION</w:t>
      </w:r>
    </w:p>
    <w:p>
      <w:pPr>
        <w:spacing w:after="160"/>
      </w:pPr>
      <w:r>
        <w:rPr>
          <w:color w:val="1F2430"/>
          <w:sz w:val="21"/>
          <w:szCs w:val="21"/>
        </w:rPr>
        <w:t xml:space="preserve">The core analytic approach is sound and well-suited to the research questions. The three flagged issues above are all addressable without re-running the primary models, and resolving them substantially reduces the likelihood of a reviewer statistical critique. No re-analysis is recommended at this time.</w:t>
      </w:r>
    </w:p>
    <w:p>
      <w:pPr>
        <w:pBdr>
          <w:top w:val="single" w:color="D8DCE3" w:sz="4" w:space="12"/>
        </w:pBdr>
        <w:spacing w:before="400"/>
      </w:pPr>
      <w:r>
        <w:rPr>
          <w:i/>
          <w:iCs/>
          <w:color w:val="5B6270"/>
          <w:sz w:val="16"/>
          <w:szCs w:val="16"/>
        </w:rPr>
        <w:t xml:space="preserve">This is a de-identified sample report for illustration. Manuscript title, findings, and figures are fictional and constructed to demonstrate report format and depth.</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270"/>
        <w:sz w:val="16"/>
        <w:szCs w:val="16"/>
      </w:rPr>
      <w:t xml:space="preserve">Page </w:t>
    </w:r>
    <w:r>
      <w:rPr>
        <w:color w:val="5B6270"/>
        <w:sz w:val="16"/>
        <w:szCs w:val="16"/>
      </w:rPr>
      <w:fldChar w:fldCharType="begin"/>
      <w:instrText xml:space="preserve">PAGE</w:instrText>
      <w:fldChar w:fldCharType="separate"/>
      <w:fldChar w:fldCharType="end"/>
    </w:r>
    <w:r>
      <w:rPr>
        <w:color w:val="5B6270"/>
        <w:sz w:val="16"/>
        <w:szCs w:val="16"/>
      </w:rPr>
      <w:t xml:space="preserve"> of </w:t>
    </w:r>
    <w:r>
      <w:rPr>
        <w:color w:val="5B627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8DCE3" w:sz="4" w:space="8"/>
      </w:pBdr>
    </w:pPr>
    <w:r>
      <w:rPr>
        <w:b/>
        <w:bCs/>
        <w:color w:val="1F2430"/>
        <w:spacing w:val="20"/>
        <w:sz w:val="18"/>
        <w:szCs w:val="18"/>
      </w:rPr>
      <w:t xml:space="preserve">STATISTICAL QA</w:t>
    </w:r>
    <w:r>
      <w:rPr>
        <w:color w:val="5B6270"/>
        <w:sz w:val="16"/>
        <w:szCs w:val="16"/>
      </w:rPr>
      <w:t xml:space="preserve">   ·   SAMPLE REPORT (DE-IDENTIFIED)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2026-08-06T02:05:27.793Z</dcterms:created>
  <dcterms:modified xsi:type="dcterms:W3CDTF">2026-08-06T02:05:27.830Z</dcterms:modified>
</cp:coreProperties>
</file>

<file path=docProps/custom.xml><?xml version="1.0" encoding="utf-8"?>
<Properties xmlns="http://schemas.openxmlformats.org/officeDocument/2006/custom-properties" xmlns:vt="http://schemas.openxmlformats.org/officeDocument/2006/docPropsVTypes"/>
</file>