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after="160"/>
      </w:pPr>
      <w:r>
        <w:rPr>
          <w:rFonts w:ascii="Noto Sans" w:hAnsi="Noto Sans" w:eastAsia="Noto Sans"/>
          <w:b/>
          <w:i w:val="0"/>
          <w:color w:val="18324A"/>
          <w:sz w:val="60"/>
        </w:rPr>
        <w:t>FROM SIGNAL TO SOURCE</w:t>
      </w:r>
    </w:p>
    <w:p>
      <w:pPr>
        <w:spacing w:after="360"/>
      </w:pPr>
      <w:r>
        <w:rPr>
          <w:rFonts w:ascii="Noto Sans" w:hAnsi="Noto Sans" w:eastAsia="Noto Sans"/>
          <w:b/>
          <w:i w:val="0"/>
          <w:color w:val="315A78"/>
          <w:sz w:val="32"/>
        </w:rPr>
        <w:t>A Repeatable Agent Workflow for Turning Live Conversations into Research-Grounded Articles</w:t>
      </w:r>
    </w:p>
    <w:p>
      <w:pPr>
        <w:spacing w:before="60" w:after="160"/>
        <w:pBdr>
          <w:bottom w:val="single" w:sz="8" w:space="1" w:color="B6863B"/>
        </w:pBdr>
      </w:pPr>
    </w:p>
    <w:p>
      <w:pPr>
        <w:spacing w:before="200" w:after="360"/>
      </w:pPr>
      <w:r>
        <w:rPr>
          <w:rFonts w:ascii="Noto Sans" w:hAnsi="Noto Sans" w:eastAsia="Noto Sans"/>
          <w:b/>
          <w:i w:val="0"/>
          <w:color w:val="B6863B"/>
          <w:sz w:val="22"/>
        </w:rPr>
        <w:t>Capture → Thesis → Deep Research → Challenge → Refine → Draft → Publish → Distribute</w:t>
      </w: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What this is</w:t>
            </w:r>
          </w:p>
          <w:p>
            <w:pPr>
              <w:spacing w:after="0"/>
            </w:pPr>
            <w:r>
              <w:rPr>
                <w:rFonts w:ascii="Noto Sans" w:hAnsi="Noto Sans" w:eastAsia="Noto Sans"/>
                <w:b w:val="0"/>
                <w:i w:val="0"/>
                <w:color w:val="1B1F23"/>
                <w:sz w:val="19"/>
              </w:rPr>
              <w:t>A platform-agnostic workflow you can run with one capable agent in sequential modes or with a small multi-agent team. It is designed for situations where a comment, conversation, observation, or live signal contains the seed of a substantive public article.</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Core design principle</w:t>
            </w:r>
          </w:p>
          <w:p>
            <w:pPr>
              <w:spacing w:after="0"/>
            </w:pPr>
            <w:r>
              <w:rPr>
                <w:rFonts w:ascii="Noto Sans" w:hAnsi="Noto Sans" w:eastAsia="Noto Sans"/>
                <w:b w:val="0"/>
                <w:i w:val="0"/>
                <w:color w:val="1B1F23"/>
                <w:sz w:val="19"/>
              </w:rPr>
              <w:t>Do not let the agent jump from “interesting idea” to “finished article.” Each stage creates a bounded artifact, and each gate must pass before the next stage begins.</w:t>
            </w:r>
          </w:p>
        </w:tc>
      </w:tr>
    </w:tbl>
    <w:p>
      <w:pPr>
        <w:spacing w:after="40"/>
      </w:pPr>
    </w:p>
    <w:p>
      <w:pPr>
        <w:spacing w:before="440"/>
        <w:jc w:val="left"/>
      </w:pPr>
      <w:r>
        <w:rPr>
          <w:rFonts w:ascii="Noto Sans" w:hAnsi="Noto Sans" w:eastAsia="Noto Sans"/>
          <w:b/>
          <w:i w:val="0"/>
          <w:color w:val="1B1F23"/>
          <w:sz w:val="22"/>
        </w:rPr>
        <w:t>Prepared by Brendon R. Coleman</w:t>
      </w:r>
    </w:p>
    <w:p>
      <w:r>
        <w:rPr>
          <w:rFonts w:ascii="Noto Sans" w:hAnsi="Noto Sans" w:eastAsia="Noto Sans"/>
          <w:b w:val="0"/>
          <w:i w:val="0"/>
          <w:color w:val="5D6873"/>
          <w:sz w:val="19"/>
        </w:rPr>
        <w:t>Workflow guide • 2026</w:t>
      </w:r>
    </w:p>
    <w:p>
      <w:r>
        <w:br w:type="page"/>
      </w:r>
    </w:p>
    <w:p>
      <w:pPr>
        <w:spacing w:after="80"/>
      </w:pPr>
      <w:r>
        <w:rPr>
          <w:rFonts w:ascii="Noto Sans" w:hAnsi="Noto Sans" w:eastAsia="Noto Sans"/>
          <w:b/>
          <w:i w:val="0"/>
          <w:color w:val="B6863B"/>
          <w:sz w:val="17"/>
        </w:rPr>
        <w:t>OVERVIEW</w:t>
      </w:r>
    </w:p>
    <w:p>
      <w:pPr>
        <w:spacing w:after="120"/>
      </w:pPr>
      <w:r>
        <w:rPr>
          <w:rFonts w:ascii="Noto Sans" w:hAnsi="Noto Sans" w:eastAsia="Noto Sans"/>
          <w:b/>
          <w:i w:val="0"/>
          <w:color w:val="18324A"/>
          <w:sz w:val="48"/>
        </w:rPr>
        <w:t>What this workflow solves</w:t>
      </w:r>
    </w:p>
    <w:p>
      <w:pPr>
        <w:spacing w:after="240"/>
      </w:pPr>
      <w:r>
        <w:rPr>
          <w:rFonts w:ascii="Noto Sans" w:hAnsi="Noto Sans" w:eastAsia="Noto Sans"/>
          <w:b w:val="0"/>
          <w:i w:val="0"/>
          <w:color w:val="5D6873"/>
          <w:sz w:val="22"/>
        </w:rPr>
        <w:t>A way to preserve the energy of a live idea without sacrificing research discipline.</w:t>
      </w:r>
    </w:p>
    <w:p>
      <w:pPr>
        <w:spacing w:before="60" w:after="160"/>
        <w:pBdr>
          <w:bottom w:val="single" w:sz="8" w:space="1" w:color="B6863B"/>
        </w:pBdr>
      </w:pPr>
    </w:p>
    <w:p>
      <w:pPr>
        <w:spacing w:after="140" w:line="269" w:lineRule="auto"/>
      </w:pPr>
      <w:r>
        <w:rPr>
          <w:rFonts w:ascii="Noto Sans" w:hAnsi="Noto Sans" w:eastAsia="Noto Sans"/>
          <w:b w:val="0"/>
          <w:i w:val="0"/>
          <w:color w:val="1B1F23"/>
          <w:sz w:val="20"/>
        </w:rPr>
        <w:t>Good article ideas often arrive before they are ready to be articles. They show up in a comment thread, a conversation, an argument, a note, a question, or a pattern that suddenly becomes visible.</w:t>
      </w:r>
    </w:p>
    <w:p>
      <w:pPr>
        <w:spacing w:after="140" w:line="269" w:lineRule="auto"/>
      </w:pPr>
      <w:r>
        <w:rPr>
          <w:rFonts w:ascii="Noto Sans" w:hAnsi="Noto Sans" w:eastAsia="Noto Sans"/>
          <w:b w:val="0"/>
          <w:i w:val="0"/>
          <w:color w:val="1B1F23"/>
          <w:sz w:val="20"/>
        </w:rPr>
        <w:t>The failure mode is familiar: an agent immediately writes polished prose around the first interpretation. The result can sound convincing while mixing observation, inference, theory, and evidence into one undifferentiated block.</w:t>
      </w:r>
    </w:p>
    <w:p>
      <w:pPr>
        <w:spacing w:after="140" w:line="269" w:lineRule="auto"/>
      </w:pPr>
      <w:r>
        <w:rPr>
          <w:rFonts w:ascii="Noto Sans" w:hAnsi="Noto Sans" w:eastAsia="Noto Sans"/>
          <w:b w:val="0"/>
          <w:i w:val="0"/>
          <w:color w:val="1B1F23"/>
          <w:sz w:val="20"/>
        </w:rPr>
        <w:t>This workflow deliberately inserts mediation stages between signal and publication. Each stage has a different job, a different output, and a different quality gate.</w:t>
      </w: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The pipeline</w:t>
            </w:r>
          </w:p>
          <w:p>
            <w:pPr>
              <w:spacing w:after="0"/>
            </w:pPr>
            <w:r>
              <w:rPr>
                <w:rFonts w:ascii="Noto Sans" w:hAnsi="Noto Sans" w:eastAsia="Noto Sans"/>
                <w:b w:val="0"/>
                <w:i w:val="0"/>
                <w:color w:val="1B1F23"/>
                <w:sz w:val="19"/>
              </w:rPr>
              <w:t>Live signal → portable thesis → research specification → evidence map → adversarial review → theory update → article architecture → grounded draft → publication placement → distribution rollout</w:t>
            </w:r>
          </w:p>
        </w:tc>
      </w:tr>
    </w:tbl>
    <w:p>
      <w:pPr>
        <w:spacing w:after="40"/>
      </w:pPr>
    </w:p>
    <w:p>
      <w:pPr>
        <w:spacing w:after="140" w:line="269" w:lineRule="auto"/>
      </w:pPr>
      <w:r>
        <w:rPr>
          <w:rFonts w:ascii="Noto Sans" w:hAnsi="Noto Sans" w:eastAsia="Noto Sans"/>
          <w:b w:val="0"/>
          <w:i w:val="0"/>
          <w:color w:val="1B1F23"/>
          <w:sz w:val="20"/>
        </w:rPr>
        <w:t>The aim is not to slow writing down for its own sake. The aim is to make sure the final public claim is stronger than the first intuition while preserving what made the intuition worth pursuing.</w:t>
      </w:r>
    </w:p>
    <w:p>
      <w:pPr>
        <w:spacing w:before="80" w:after="60"/>
      </w:pPr>
      <w:r>
        <w:rPr>
          <w:rFonts w:ascii="Noto Sans" w:hAnsi="Noto Sans" w:eastAsia="Noto Sans"/>
          <w:b/>
          <w:i w:val="0"/>
          <w:color w:val="315A78"/>
          <w:sz w:val="16"/>
        </w:rPr>
        <w:t>USE THIS WORKFLOW WHEN</w:t>
      </w:r>
    </w:p>
    <w:p>
      <w:pPr>
        <w:pStyle w:val="ListBullet"/>
        <w:spacing w:after="80"/>
      </w:pPr>
      <w:r>
        <w:rPr>
          <w:rFonts w:ascii="Noto Sans" w:hAnsi="Noto Sans" w:eastAsia="Noto Sans"/>
          <w:b w:val="0"/>
          <w:i w:val="0"/>
          <w:sz w:val="20"/>
        </w:rPr>
        <w:t>A conversation contains a generalizable pattern that seems bigger than the immediate context.</w:t>
      </w:r>
    </w:p>
    <w:p>
      <w:pPr>
        <w:pStyle w:val="ListBullet"/>
        <w:spacing w:after="80"/>
      </w:pPr>
      <w:r>
        <w:rPr>
          <w:rFonts w:ascii="Noto Sans" w:hAnsi="Noto Sans" w:eastAsia="Noto Sans"/>
          <w:b w:val="0"/>
          <w:i w:val="0"/>
          <w:sz w:val="20"/>
        </w:rPr>
        <w:t>You want a public article that can survive skeptical readers, not just agree with sympathetic ones.</w:t>
      </w:r>
    </w:p>
    <w:p>
      <w:pPr>
        <w:pStyle w:val="ListBullet"/>
        <w:spacing w:after="80"/>
      </w:pPr>
      <w:r>
        <w:rPr>
          <w:rFonts w:ascii="Noto Sans" w:hAnsi="Noto Sans" w:eastAsia="Noto Sans"/>
          <w:b w:val="0"/>
          <w:i w:val="0"/>
          <w:sz w:val="20"/>
        </w:rPr>
        <w:t>The idea crosses domains and needs historical, philosophical, scientific, legal, or institutional grounding.</w:t>
      </w:r>
    </w:p>
    <w:p>
      <w:pPr>
        <w:pStyle w:val="ListBullet"/>
        <w:spacing w:after="80"/>
      </w:pPr>
      <w:r>
        <w:rPr>
          <w:rFonts w:ascii="Noto Sans" w:hAnsi="Noto Sans" w:eastAsia="Noto Sans"/>
          <w:b w:val="0"/>
          <w:i w:val="0"/>
          <w:sz w:val="20"/>
        </w:rPr>
        <w:t>You want the final piece to distinguish established sources from your own synthesis or newly proposed framework terms.</w:t>
      </w:r>
    </w:p>
    <w:p>
      <w:pPr>
        <w:pStyle w:val="ListBullet"/>
        <w:spacing w:after="80"/>
      </w:pPr>
      <w:r>
        <w:rPr>
          <w:rFonts w:ascii="Noto Sans" w:hAnsi="Noto Sans" w:eastAsia="Noto Sans"/>
          <w:b w:val="0"/>
          <w:i w:val="0"/>
          <w:sz w:val="20"/>
        </w:rPr>
        <w:t>You want publication and social distribution to be part of the same governed process rather than an afterthought.</w:t>
      </w:r>
    </w:p>
    <w:p>
      <w:pPr>
        <w:spacing w:before="80" w:after="60"/>
      </w:pPr>
      <w:r>
        <w:rPr>
          <w:rFonts w:ascii="Noto Sans" w:hAnsi="Noto Sans" w:eastAsia="Noto Sans"/>
          <w:b/>
          <w:i w:val="0"/>
          <w:color w:val="315A78"/>
          <w:sz w:val="16"/>
        </w:rPr>
        <w:t>DO NOT USE IT WHEN</w:t>
      </w:r>
    </w:p>
    <w:p>
      <w:pPr>
        <w:pStyle w:val="ListBullet"/>
        <w:spacing w:after="80"/>
      </w:pPr>
      <w:r>
        <w:rPr>
          <w:rFonts w:ascii="Noto Sans" w:hAnsi="Noto Sans" w:eastAsia="Noto Sans"/>
          <w:b w:val="0"/>
          <w:i w:val="0"/>
          <w:sz w:val="20"/>
        </w:rPr>
        <w:t>You only need a quick personal reflection or opinion post.</w:t>
      </w:r>
    </w:p>
    <w:p>
      <w:pPr>
        <w:pStyle w:val="ListBullet"/>
        <w:spacing w:after="80"/>
      </w:pPr>
      <w:r>
        <w:rPr>
          <w:rFonts w:ascii="Noto Sans" w:hAnsi="Noto Sans" w:eastAsia="Noto Sans"/>
          <w:b w:val="0"/>
          <w:i w:val="0"/>
          <w:sz w:val="20"/>
        </w:rPr>
        <w:t>The material is purely creative and does not depend on factual substantiation.</w:t>
      </w:r>
    </w:p>
    <w:p>
      <w:pPr>
        <w:pStyle w:val="ListBullet"/>
        <w:spacing w:after="80"/>
      </w:pPr>
      <w:r>
        <w:rPr>
          <w:rFonts w:ascii="Noto Sans" w:hAnsi="Noto Sans" w:eastAsia="Noto Sans"/>
          <w:b w:val="0"/>
          <w:i w:val="0"/>
          <w:sz w:val="20"/>
        </w:rPr>
        <w:t>The source signal is too thin to support a meaningful thesis yet.</w:t>
      </w:r>
    </w:p>
    <w:p>
      <w:r>
        <w:br w:type="page"/>
      </w:r>
    </w:p>
    <w:p>
      <w:pPr>
        <w:spacing w:after="80"/>
      </w:pPr>
      <w:r>
        <w:rPr>
          <w:rFonts w:ascii="Noto Sans" w:hAnsi="Noto Sans" w:eastAsia="Noto Sans"/>
          <w:b/>
          <w:i w:val="0"/>
          <w:color w:val="B6863B"/>
          <w:sz w:val="17"/>
        </w:rPr>
        <w:t>SYSTEM MAP</w:t>
      </w:r>
    </w:p>
    <w:p>
      <w:pPr>
        <w:spacing w:after="120"/>
      </w:pPr>
      <w:r>
        <w:rPr>
          <w:rFonts w:ascii="Noto Sans" w:hAnsi="Noto Sans" w:eastAsia="Noto Sans"/>
          <w:b/>
          <w:i w:val="0"/>
          <w:color w:val="18324A"/>
          <w:sz w:val="48"/>
        </w:rPr>
        <w:t>The eight-agent pipeline</w:t>
      </w:r>
    </w:p>
    <w:p>
      <w:pPr>
        <w:spacing w:after="240"/>
      </w:pPr>
      <w:r>
        <w:rPr>
          <w:rFonts w:ascii="Noto Sans" w:hAnsi="Noto Sans" w:eastAsia="Noto Sans"/>
          <w:b w:val="0"/>
          <w:i w:val="0"/>
          <w:color w:val="5D6873"/>
          <w:sz w:val="22"/>
        </w:rPr>
        <w:t>One workflow, eight bounded roles. A single model can execute them sequentially, but it should not collapse them.</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3360"/>
        <w:gridCol w:w="3360"/>
        <w:gridCol w:w="3360"/>
      </w:tblGrid>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1</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Signal Miner</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Extracts the live pattern without overgeneralizing.</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2</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Thesis Architect</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Turns the pattern into a testable portable claim.</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3</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Research Director</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Builds the deep-research specification and source plan.</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4</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Evidence Auditor</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Checks what the research actually supports and where it is weak.</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5</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Theory Refiner</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Updates the original theory in response to the evidence.</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6</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Article Builder</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Writes the public article with claim boundaries intact.</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7</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Publication Architect</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Places and packages the article in the correct site lane.</w:t>
            </w:r>
          </w:p>
        </w:tc>
      </w:tr>
      <w:tr>
        <w:tc>
          <w:tcPr>
            <w:tcW w:type="dxa" w:w="792"/>
            <w:shd w:fill="18324A"/>
            <w:vAlign w:val="center"/>
            <w:tcBorders>
              <w:top w:val="single" w:sz="5" w:color="CBD5DF"/>
              <w:left w:val="single" w:sz="5" w:color="CBD5DF"/>
              <w:bottom w:val="single" w:sz="5" w:color="CBD5DF"/>
              <w:right w:val="single" w:sz="5" w:color="CBD5DF"/>
            </w:tcBorders>
          </w:tcPr>
          <w:p>
            <w:pPr>
              <w:jc w:val="center"/>
            </w:pPr>
            <w:r>
              <w:rPr>
                <w:rFonts w:ascii="Noto Sans" w:hAnsi="Noto Sans" w:eastAsia="Noto Sans"/>
                <w:b/>
                <w:i w:val="0"/>
                <w:color w:val="FFFFFF"/>
                <w:sz w:val="22"/>
              </w:rPr>
              <w:t>8</w:t>
            </w:r>
          </w:p>
        </w:tc>
        <w:tc>
          <w:tcPr>
            <w:tcW w:type="dxa" w:w="2232"/>
            <w:shd w:fill="EEF3F7"/>
            <w:vAlign w:val="center"/>
            <w:tcBorders>
              <w:top w:val="single" w:sz="5" w:color="CBD5DF"/>
              <w:left w:val="single" w:sz="5" w:color="CBD5DF"/>
              <w:bottom w:val="single" w:sz="5" w:color="CBD5DF"/>
              <w:right w:val="single" w:sz="5" w:color="CBD5DF"/>
            </w:tcBorders>
          </w:tcPr>
          <w:p>
            <w:r>
              <w:rPr>
                <w:rFonts w:ascii="Noto Sans" w:hAnsi="Noto Sans" w:eastAsia="Noto Sans"/>
                <w:b/>
                <w:i w:val="0"/>
                <w:color w:val="18324A"/>
                <w:sz w:val="19"/>
              </w:rPr>
              <w:t>Distribution Agent</w:t>
            </w:r>
          </w:p>
        </w:tc>
        <w:tc>
          <w:tcPr>
            <w:tcW w:type="dxa" w:w="6264"/>
            <w:shd w:fill="FFFFFF"/>
            <w:vAlign w:val="center"/>
            <w:tcBorders>
              <w:top w:val="single" w:sz="5" w:color="CBD5DF"/>
              <w:left w:val="single" w:sz="5" w:color="CBD5DF"/>
              <w:bottom w:val="single" w:sz="5" w:color="CBD5DF"/>
              <w:right w:val="single" w:sz="5" w:color="CBD5DF"/>
            </w:tcBorders>
          </w:tcPr>
          <w:p>
            <w:r>
              <w:rPr>
                <w:rFonts w:ascii="Noto Sans" w:hAnsi="Noto Sans" w:eastAsia="Noto Sans"/>
                <w:b w:val="0"/>
                <w:i w:val="0"/>
                <w:color w:val="1B1F23"/>
                <w:sz w:val="18"/>
              </w:rPr>
              <w:t>Creates platform-native rollout posts from the article.</w:t>
            </w:r>
          </w:p>
        </w:tc>
      </w:tr>
    </w:tbl>
    <w:p>
      <w:pPr>
        <w:spacing w:after="140" w:line="269" w:lineRule="auto"/>
      </w:pPr>
      <w:r>
        <w:rPr>
          <w:rFonts w:ascii="Noto Sans" w:hAnsi="Noto Sans" w:eastAsia="Noto Sans"/>
          <w:b w:val="0"/>
          <w:i w:val="0"/>
          <w:color w:val="1B1F23"/>
          <w:sz w:val="20"/>
        </w:rPr>
        <w:t>The important distinction is between role separation and tool separation. You do not need eight different AI products. You need the eight responsibilities to remain conceptually separate so one stage does not silently authorize itself to perform the next.</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Invariant</w:t>
            </w:r>
          </w:p>
          <w:p>
            <w:pPr>
              <w:spacing w:after="0"/>
            </w:pPr>
            <w:r>
              <w:rPr>
                <w:rFonts w:ascii="Noto Sans" w:hAnsi="Noto Sans" w:eastAsia="Noto Sans"/>
                <w:b w:val="0"/>
                <w:i w:val="0"/>
                <w:color w:val="1B1F23"/>
                <w:sz w:val="19"/>
              </w:rPr>
              <w:t>Every stage must pass forward both its output and its uncertainty. A later agent may refine an earlier conclusion; it may not erase the fact that the earlier conclusion was provisional.</w:t>
            </w:r>
          </w:p>
        </w:tc>
      </w:tr>
    </w:tbl>
    <w:p>
      <w:pPr>
        <w:spacing w:after="40"/>
      </w:pPr>
    </w:p>
    <w:p>
      <w:r>
        <w:br w:type="page"/>
      </w:r>
    </w:p>
    <w:p>
      <w:pPr>
        <w:spacing w:after="80"/>
      </w:pPr>
      <w:r>
        <w:rPr>
          <w:rFonts w:ascii="Noto Sans" w:hAnsi="Noto Sans" w:eastAsia="Noto Sans"/>
          <w:b/>
          <w:i w:val="0"/>
          <w:color w:val="B6863B"/>
          <w:sz w:val="17"/>
        </w:rPr>
        <w:t>AGENT 1</w:t>
      </w:r>
    </w:p>
    <w:p>
      <w:pPr>
        <w:spacing w:after="120"/>
      </w:pPr>
      <w:r>
        <w:rPr>
          <w:rFonts w:ascii="Noto Sans" w:hAnsi="Noto Sans" w:eastAsia="Noto Sans"/>
          <w:b/>
          <w:i w:val="0"/>
          <w:color w:val="18324A"/>
          <w:sz w:val="48"/>
        </w:rPr>
        <w:t>Signal Miner</w:t>
      </w:r>
    </w:p>
    <w:p>
      <w:pPr>
        <w:spacing w:after="240"/>
      </w:pPr>
      <w:r>
        <w:rPr>
          <w:rFonts w:ascii="Noto Sans" w:hAnsi="Noto Sans" w:eastAsia="Noto Sans"/>
          <w:b w:val="0"/>
          <w:i w:val="0"/>
          <w:color w:val="5D6873"/>
          <w:sz w:val="22"/>
        </w:rPr>
        <w:t>Capture the portable structure hiding inside the live encounter.</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A comment, thread, meeting, debate, observation, user interview, field note, or unexpected reaction feels like it contains a larger pattern.</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Raw conversation or notes</w:t>
      </w:r>
    </w:p>
    <w:p>
      <w:pPr>
        <w:pStyle w:val="ListBullet"/>
        <w:spacing w:after="80"/>
      </w:pPr>
      <w:r>
        <w:rPr>
          <w:rFonts w:ascii="Noto Sans" w:hAnsi="Noto Sans" w:eastAsia="Noto Sans"/>
          <w:b w:val="0"/>
          <w:i w:val="0"/>
          <w:sz w:val="20"/>
        </w:rPr>
        <w:t>Immediate context: who said what and why it mattered</w:t>
      </w:r>
    </w:p>
    <w:p>
      <w:pPr>
        <w:pStyle w:val="ListBullet"/>
        <w:spacing w:after="80"/>
      </w:pPr>
      <w:r>
        <w:rPr>
          <w:rFonts w:ascii="Noto Sans" w:hAnsi="Noto Sans" w:eastAsia="Noto Sans"/>
          <w:b w:val="0"/>
          <w:i w:val="0"/>
          <w:sz w:val="20"/>
        </w:rPr>
        <w:t>Any prior concepts already relevant to the pattern</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Describe the concrete encounter before abstracting it.</w:t>
      </w:r>
    </w:p>
    <w:p>
      <w:pPr>
        <w:pStyle w:val="ListNumber"/>
        <w:spacing w:after="80"/>
      </w:pPr>
      <w:r>
        <w:rPr>
          <w:rFonts w:ascii="Noto Sans" w:hAnsi="Noto Sans" w:eastAsia="Noto Sans"/>
          <w:b w:val="0"/>
          <w:i w:val="0"/>
          <w:sz w:val="20"/>
        </w:rPr>
        <w:t>Identify the smallest generalizable pattern that survives outside the original setting.</w:t>
      </w:r>
    </w:p>
    <w:p>
      <w:pPr>
        <w:pStyle w:val="ListNumber"/>
        <w:spacing w:after="80"/>
      </w:pPr>
      <w:r>
        <w:rPr>
          <w:rFonts w:ascii="Noto Sans" w:hAnsi="Noto Sans" w:eastAsia="Noto Sans"/>
          <w:b w:val="0"/>
          <w:i w:val="0"/>
          <w:sz w:val="20"/>
        </w:rPr>
        <w:t>Separate what was observed from what is inferred.</w:t>
      </w:r>
    </w:p>
    <w:p>
      <w:pPr>
        <w:pStyle w:val="ListNumber"/>
        <w:spacing w:after="80"/>
      </w:pPr>
      <w:r>
        <w:rPr>
          <w:rFonts w:ascii="Noto Sans" w:hAnsi="Noto Sans" w:eastAsia="Noto Sans"/>
          <w:b w:val="0"/>
          <w:i w:val="0"/>
          <w:sz w:val="20"/>
        </w:rPr>
        <w:t>Generate 2–4 candidate thesis statements at different levels of abstraction.</w:t>
      </w:r>
    </w:p>
    <w:p>
      <w:pPr>
        <w:pStyle w:val="ListNumber"/>
        <w:spacing w:after="80"/>
      </w:pPr>
      <w:r>
        <w:rPr>
          <w:rFonts w:ascii="Noto Sans" w:hAnsi="Noto Sans" w:eastAsia="Noto Sans"/>
          <w:b w:val="0"/>
          <w:i w:val="0"/>
          <w:sz w:val="20"/>
        </w:rPr>
        <w:t>Identify which domain-specific details should remain examples rather than become universal claims.</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Do not advance if the “thesis” is merely a restatement of the original anecdote or if it requires assuming motives that are not evidenced.</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one-page signal brief: encounter, observed pattern, candidate thesis, uncertainty, and why the idea might travel.</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Analyze the following live signal as a Signal Miner. Start with the concrete encounter. Extract the smallest portable structural pattern without treating the anecdote as proof of a general rule. Separate observation from inference. Produce: (1) encounter summary, (2) observed mechanism, (3) 2–4 candidate theses, (4) assumptions and unknowns, and (5) what would need research before publication. Do not draft the article yet.</w:t>
            </w:r>
          </w:p>
        </w:tc>
      </w:tr>
    </w:tbl>
    <w:p>
      <w:pPr>
        <w:spacing w:after="20"/>
      </w:pPr>
    </w:p>
    <w:p>
      <w:r>
        <w:br w:type="page"/>
      </w:r>
    </w:p>
    <w:p>
      <w:pPr>
        <w:spacing w:after="80"/>
      </w:pPr>
      <w:r>
        <w:rPr>
          <w:rFonts w:ascii="Noto Sans" w:hAnsi="Noto Sans" w:eastAsia="Noto Sans"/>
          <w:b/>
          <w:i w:val="0"/>
          <w:color w:val="B6863B"/>
          <w:sz w:val="17"/>
        </w:rPr>
        <w:t>AGENT 2</w:t>
      </w:r>
    </w:p>
    <w:p>
      <w:pPr>
        <w:spacing w:after="120"/>
      </w:pPr>
      <w:r>
        <w:rPr>
          <w:rFonts w:ascii="Noto Sans" w:hAnsi="Noto Sans" w:eastAsia="Noto Sans"/>
          <w:b/>
          <w:i w:val="0"/>
          <w:color w:val="18324A"/>
          <w:sz w:val="48"/>
        </w:rPr>
        <w:t>Thesis Architect</w:t>
      </w:r>
    </w:p>
    <w:p>
      <w:pPr>
        <w:spacing w:after="240"/>
      </w:pPr>
      <w:r>
        <w:rPr>
          <w:rFonts w:ascii="Noto Sans" w:hAnsi="Noto Sans" w:eastAsia="Noto Sans"/>
          <w:b w:val="0"/>
          <w:i w:val="0"/>
          <w:color w:val="5D6873"/>
          <w:sz w:val="22"/>
        </w:rPr>
        <w:t>Convert the interesting pattern into a claim that can be challenged, researched, and refined.</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The signal brief contains a pattern that appears portable beyond the original encounter.</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Signal brief</w:t>
      </w:r>
    </w:p>
    <w:p>
      <w:pPr>
        <w:pStyle w:val="ListBullet"/>
        <w:spacing w:after="80"/>
      </w:pPr>
      <w:r>
        <w:rPr>
          <w:rFonts w:ascii="Noto Sans" w:hAnsi="Noto Sans" w:eastAsia="Noto Sans"/>
          <w:b w:val="0"/>
          <w:i w:val="0"/>
          <w:sz w:val="20"/>
        </w:rPr>
        <w:t>Candidate thesis statements</w:t>
      </w:r>
    </w:p>
    <w:p>
      <w:pPr>
        <w:pStyle w:val="ListBullet"/>
        <w:spacing w:after="80"/>
      </w:pPr>
      <w:r>
        <w:rPr>
          <w:rFonts w:ascii="Noto Sans" w:hAnsi="Noto Sans" w:eastAsia="Noto Sans"/>
          <w:b w:val="0"/>
          <w:i w:val="0"/>
          <w:sz w:val="20"/>
        </w:rPr>
        <w:t>Any existing conceptual grammar or framework the author uses</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Choose the narrowest thesis that still explains the interesting pattern.</w:t>
      </w:r>
    </w:p>
    <w:p>
      <w:pPr>
        <w:pStyle w:val="ListNumber"/>
        <w:spacing w:after="80"/>
      </w:pPr>
      <w:r>
        <w:rPr>
          <w:rFonts w:ascii="Noto Sans" w:hAnsi="Noto Sans" w:eastAsia="Noto Sans"/>
          <w:b w:val="0"/>
          <w:i w:val="0"/>
          <w:sz w:val="20"/>
        </w:rPr>
        <w:t>Define key terms before using them normatively.</w:t>
      </w:r>
    </w:p>
    <w:p>
      <w:pPr>
        <w:pStyle w:val="ListNumber"/>
        <w:spacing w:after="80"/>
      </w:pPr>
      <w:r>
        <w:rPr>
          <w:rFonts w:ascii="Noto Sans" w:hAnsi="Noto Sans" w:eastAsia="Noto Sans"/>
          <w:b w:val="0"/>
          <w:i w:val="0"/>
          <w:sz w:val="20"/>
        </w:rPr>
        <w:t>Write the strongest plausible counter-thesis.</w:t>
      </w:r>
    </w:p>
    <w:p>
      <w:pPr>
        <w:pStyle w:val="ListNumber"/>
        <w:spacing w:after="80"/>
      </w:pPr>
      <w:r>
        <w:rPr>
          <w:rFonts w:ascii="Noto Sans" w:hAnsi="Noto Sans" w:eastAsia="Noto Sans"/>
          <w:b w:val="0"/>
          <w:i w:val="0"/>
          <w:sz w:val="20"/>
        </w:rPr>
        <w:t>Specify boundary conditions and known exceptions.</w:t>
      </w:r>
    </w:p>
    <w:p>
      <w:pPr>
        <w:pStyle w:val="ListNumber"/>
        <w:spacing w:after="80"/>
      </w:pPr>
      <w:r>
        <w:rPr>
          <w:rFonts w:ascii="Noto Sans" w:hAnsi="Noto Sans" w:eastAsia="Noto Sans"/>
          <w:b w:val="0"/>
          <w:i w:val="0"/>
          <w:sz w:val="20"/>
        </w:rPr>
        <w:t>Turn the thesis into 5–10 research questions that could prove, refine, or defeat it.</w:t>
      </w:r>
    </w:p>
    <w:p>
      <w:pPr>
        <w:pStyle w:val="ListNumber"/>
        <w:spacing w:after="80"/>
      </w:pPr>
      <w:r>
        <w:rPr>
          <w:rFonts w:ascii="Noto Sans" w:hAnsi="Noto Sans" w:eastAsia="Noto Sans"/>
          <w:b w:val="0"/>
          <w:i w:val="0"/>
          <w:sz w:val="20"/>
        </w:rPr>
        <w:t>Mark any new language as proposed terminology rather than established academic vocabulary.</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The thesis must be falsifiable enough that research could force a revision. If every possible finding confirms it, it is too vague.</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thesis card containing: central claim, definitions, counter-thesis, boundary conditions, research questions, and proposed framework terms.</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 Thesis Architect. Using the signal brief, formulate a portable thesis that can be tested rather than merely admired. Define the key terms, give the strongest counter-thesis, identify boundary conditions and exceptions, and produce research questions designed to challenge the thesis. Explicitly label any original framework terms as proposed language. Do not assume the original intuition is correct.</w:t>
            </w:r>
          </w:p>
        </w:tc>
      </w:tr>
    </w:tbl>
    <w:p>
      <w:pPr>
        <w:spacing w:after="20"/>
      </w:pPr>
    </w:p>
    <w:p>
      <w:r>
        <w:br w:type="page"/>
      </w:r>
    </w:p>
    <w:p>
      <w:pPr>
        <w:spacing w:after="80"/>
      </w:pPr>
      <w:r>
        <w:rPr>
          <w:rFonts w:ascii="Noto Sans" w:hAnsi="Noto Sans" w:eastAsia="Noto Sans"/>
          <w:b/>
          <w:i w:val="0"/>
          <w:color w:val="B6863B"/>
          <w:sz w:val="17"/>
        </w:rPr>
        <w:t>AGENT 3</w:t>
      </w:r>
    </w:p>
    <w:p>
      <w:pPr>
        <w:spacing w:after="120"/>
      </w:pPr>
      <w:r>
        <w:rPr>
          <w:rFonts w:ascii="Noto Sans" w:hAnsi="Noto Sans" w:eastAsia="Noto Sans"/>
          <w:b/>
          <w:i w:val="0"/>
          <w:color w:val="18324A"/>
          <w:sz w:val="48"/>
        </w:rPr>
        <w:t>Research Director</w:t>
      </w:r>
    </w:p>
    <w:p>
      <w:pPr>
        <w:spacing w:after="240"/>
      </w:pPr>
      <w:r>
        <w:rPr>
          <w:rFonts w:ascii="Noto Sans" w:hAnsi="Noto Sans" w:eastAsia="Noto Sans"/>
          <w:b w:val="0"/>
          <w:i w:val="0"/>
          <w:color w:val="5D6873"/>
          <w:sz w:val="22"/>
        </w:rPr>
        <w:t>Design the evidence hunt before the prose hardens around the theory.</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A thesis exists, but the evidence base has not yet been assembled.</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Thesis card</w:t>
      </w:r>
    </w:p>
    <w:p>
      <w:pPr>
        <w:pStyle w:val="ListBullet"/>
        <w:spacing w:after="80"/>
      </w:pPr>
      <w:r>
        <w:rPr>
          <w:rFonts w:ascii="Noto Sans" w:hAnsi="Noto Sans" w:eastAsia="Noto Sans"/>
          <w:b w:val="0"/>
          <w:i w:val="0"/>
          <w:sz w:val="20"/>
        </w:rPr>
        <w:t>Domains implicated by the claim</w:t>
      </w:r>
    </w:p>
    <w:p>
      <w:pPr>
        <w:pStyle w:val="ListBullet"/>
        <w:spacing w:after="80"/>
      </w:pPr>
      <w:r>
        <w:rPr>
          <w:rFonts w:ascii="Noto Sans" w:hAnsi="Noto Sans" w:eastAsia="Noto Sans"/>
          <w:b w:val="0"/>
          <w:i w:val="0"/>
          <w:sz w:val="20"/>
        </w:rPr>
        <w:t>Desired article depth and audience</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Map the disciplines that have studied analogous questions.</w:t>
      </w:r>
    </w:p>
    <w:p>
      <w:pPr>
        <w:pStyle w:val="ListNumber"/>
        <w:spacing w:after="80"/>
      </w:pPr>
      <w:r>
        <w:rPr>
          <w:rFonts w:ascii="Noto Sans" w:hAnsi="Noto Sans" w:eastAsia="Noto Sans"/>
          <w:b w:val="0"/>
          <w:i w:val="0"/>
          <w:sz w:val="20"/>
        </w:rPr>
        <w:t>Prioritize primary sources, peer-reviewed work, university-press books, law/policy texts, official reports, and high-quality historical scholarship.</w:t>
      </w:r>
    </w:p>
    <w:p>
      <w:pPr>
        <w:pStyle w:val="ListNumber"/>
        <w:spacing w:after="80"/>
      </w:pPr>
      <w:r>
        <w:rPr>
          <w:rFonts w:ascii="Noto Sans" w:hAnsi="Noto Sans" w:eastAsia="Noto Sans"/>
          <w:b w:val="0"/>
          <w:i w:val="0"/>
          <w:sz w:val="20"/>
        </w:rPr>
        <w:t>Search for positive cases, failure cases, counterexamples, and legitimate exceptions.</w:t>
      </w:r>
    </w:p>
    <w:p>
      <w:pPr>
        <w:pStyle w:val="ListNumber"/>
        <w:spacing w:after="80"/>
      </w:pPr>
      <w:r>
        <w:rPr>
          <w:rFonts w:ascii="Noto Sans" w:hAnsi="Noto Sans" w:eastAsia="Noto Sans"/>
          <w:b w:val="0"/>
          <w:i w:val="0"/>
          <w:sz w:val="20"/>
        </w:rPr>
        <w:t>Require a citation ledger and example ledger.</w:t>
      </w:r>
    </w:p>
    <w:p>
      <w:pPr>
        <w:pStyle w:val="ListNumber"/>
        <w:spacing w:after="80"/>
      </w:pPr>
      <w:r>
        <w:rPr>
          <w:rFonts w:ascii="Noto Sans" w:hAnsi="Noto Sans" w:eastAsia="Noto Sans"/>
          <w:b w:val="0"/>
          <w:i w:val="0"/>
          <w:sz w:val="20"/>
        </w:rPr>
        <w:t>Ask the research process to distinguish established concepts from structural analogies.</w:t>
      </w:r>
    </w:p>
    <w:p>
      <w:pPr>
        <w:pStyle w:val="ListNumber"/>
        <w:spacing w:after="80"/>
      </w:pPr>
      <w:r>
        <w:rPr>
          <w:rFonts w:ascii="Noto Sans" w:hAnsi="Noto Sans" w:eastAsia="Noto Sans"/>
          <w:b w:val="0"/>
          <w:i w:val="0"/>
          <w:sz w:val="20"/>
        </w:rPr>
        <w:t>Tell the researcher to modify the framework if the evidence demands it.</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The research prompt must contain a disconfirmation path. If it only asks for sources that support the thesis, rewrite it.</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copy-paste deep research specification with source hierarchy, questions, counterarguments, output tables, and a final direct analytical question.</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 Research Director. Turn the thesis card into a deep-research specification. Require primary and scholarly sources where possible; positive and negative cases; strongest counterarguments; legitimate exceptions; a citation ledger; an example ledger; and explicit evaluation of whether the framework survives. The goal is not confirmation. The goal is a research foundation strong enough to change the theory before publication.</w:t>
            </w:r>
          </w:p>
        </w:tc>
      </w:tr>
    </w:tbl>
    <w:p>
      <w:pPr>
        <w:spacing w:after="20"/>
      </w:pPr>
    </w:p>
    <w:p>
      <w:r>
        <w:br w:type="page"/>
      </w:r>
    </w:p>
    <w:p>
      <w:pPr>
        <w:spacing w:after="80"/>
      </w:pPr>
      <w:r>
        <w:rPr>
          <w:rFonts w:ascii="Noto Sans" w:hAnsi="Noto Sans" w:eastAsia="Noto Sans"/>
          <w:b/>
          <w:i w:val="0"/>
          <w:color w:val="B6863B"/>
          <w:sz w:val="17"/>
        </w:rPr>
        <w:t>AGENT 4</w:t>
      </w:r>
    </w:p>
    <w:p>
      <w:pPr>
        <w:spacing w:after="120"/>
      </w:pPr>
      <w:r>
        <w:rPr>
          <w:rFonts w:ascii="Noto Sans" w:hAnsi="Noto Sans" w:eastAsia="Noto Sans"/>
          <w:b/>
          <w:i w:val="0"/>
          <w:color w:val="18324A"/>
          <w:sz w:val="48"/>
        </w:rPr>
        <w:t>Evidence Auditor</w:t>
      </w:r>
    </w:p>
    <w:p>
      <w:pPr>
        <w:spacing w:after="240"/>
      </w:pPr>
      <w:r>
        <w:rPr>
          <w:rFonts w:ascii="Noto Sans" w:hAnsi="Noto Sans" w:eastAsia="Noto Sans"/>
          <w:b w:val="0"/>
          <w:i w:val="0"/>
          <w:color w:val="5D6873"/>
          <w:sz w:val="22"/>
        </w:rPr>
        <w:t>Interrogate the research report before it becomes the article’s authority layer.</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Deep research has returned a report, source list, examples, and conclusions.</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Completed research report</w:t>
      </w:r>
    </w:p>
    <w:p>
      <w:pPr>
        <w:pStyle w:val="ListBullet"/>
        <w:spacing w:after="80"/>
      </w:pPr>
      <w:r>
        <w:rPr>
          <w:rFonts w:ascii="Noto Sans" w:hAnsi="Noto Sans" w:eastAsia="Noto Sans"/>
          <w:b w:val="0"/>
          <w:i w:val="0"/>
          <w:sz w:val="20"/>
        </w:rPr>
        <w:t>Original thesis card</w:t>
      </w:r>
    </w:p>
    <w:p>
      <w:pPr>
        <w:pStyle w:val="ListBullet"/>
        <w:spacing w:after="80"/>
      </w:pPr>
      <w:r>
        <w:rPr>
          <w:rFonts w:ascii="Noto Sans" w:hAnsi="Noto Sans" w:eastAsia="Noto Sans"/>
          <w:b w:val="0"/>
          <w:i w:val="0"/>
          <w:sz w:val="20"/>
        </w:rPr>
        <w:t>Citation and example ledgers</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Identify the strongest findings that genuinely survive across sources.</w:t>
      </w:r>
    </w:p>
    <w:p>
      <w:pPr>
        <w:pStyle w:val="ListNumber"/>
        <w:spacing w:after="80"/>
      </w:pPr>
      <w:r>
        <w:rPr>
          <w:rFonts w:ascii="Noto Sans" w:hAnsi="Noto Sans" w:eastAsia="Noto Sans"/>
          <w:b w:val="0"/>
          <w:i w:val="0"/>
          <w:sz w:val="20"/>
        </w:rPr>
        <w:t>Flag weak sourcing, unsourced examples, citation gaps, false equivalences, and overgeneralizations.</w:t>
      </w:r>
    </w:p>
    <w:p>
      <w:pPr>
        <w:pStyle w:val="ListNumber"/>
        <w:spacing w:after="80"/>
      </w:pPr>
      <w:r>
        <w:rPr>
          <w:rFonts w:ascii="Noto Sans" w:hAnsi="Noto Sans" w:eastAsia="Noto Sans"/>
          <w:b w:val="0"/>
          <w:i w:val="0"/>
          <w:sz w:val="20"/>
        </w:rPr>
        <w:t>Separate primary-source facts, scholarly consensus, contested interpretation, and author synthesis.</w:t>
      </w:r>
    </w:p>
    <w:p>
      <w:pPr>
        <w:pStyle w:val="ListNumber"/>
        <w:spacing w:after="80"/>
      </w:pPr>
      <w:r>
        <w:rPr>
          <w:rFonts w:ascii="Noto Sans" w:hAnsi="Noto Sans" w:eastAsia="Noto Sans"/>
          <w:b w:val="0"/>
          <w:i w:val="0"/>
          <w:sz w:val="20"/>
        </w:rPr>
        <w:t>Check whether quotes are actually verified and whether sources support the exact claim attached to them.</w:t>
      </w:r>
    </w:p>
    <w:p>
      <w:pPr>
        <w:pStyle w:val="ListNumber"/>
        <w:spacing w:after="80"/>
      </w:pPr>
      <w:r>
        <w:rPr>
          <w:rFonts w:ascii="Noto Sans" w:hAnsi="Noto Sans" w:eastAsia="Noto Sans"/>
          <w:b w:val="0"/>
          <w:i w:val="0"/>
          <w:sz w:val="20"/>
        </w:rPr>
        <w:t>Look for domains where the analogy breaks.</w:t>
      </w:r>
    </w:p>
    <w:p>
      <w:pPr>
        <w:pStyle w:val="ListNumber"/>
        <w:spacing w:after="80"/>
      </w:pPr>
      <w:r>
        <w:rPr>
          <w:rFonts w:ascii="Noto Sans" w:hAnsi="Noto Sans" w:eastAsia="Noto Sans"/>
          <w:b w:val="0"/>
          <w:i w:val="0"/>
          <w:sz w:val="20"/>
        </w:rPr>
        <w:t>List claims that should be retained, softened, reframed, or removed.</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Do not allow a polished research report to substitute for source quality. A confident sentence with a weak source is still weak.</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An editorial evidence memo: strongest support, weak points, overreach, source problems, counterexamples, and publication-safe claims.</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 critical Evidence Auditor. Review the research report against the original thesis. Identify what is strongly supported, weakly supported, contested, or unsupported. Flag citation and attribution problems, weak examples, false equivalences, and places where the analogy breaks. Produce a retain/revise/remove list and a concise statement of what the evidence actually permits the author to claim.</w:t>
            </w:r>
          </w:p>
        </w:tc>
      </w:tr>
    </w:tbl>
    <w:p>
      <w:pPr>
        <w:spacing w:after="20"/>
      </w:pPr>
    </w:p>
    <w:p>
      <w:r>
        <w:br w:type="page"/>
      </w:r>
    </w:p>
    <w:p>
      <w:pPr>
        <w:spacing w:after="80"/>
      </w:pPr>
      <w:r>
        <w:rPr>
          <w:rFonts w:ascii="Noto Sans" w:hAnsi="Noto Sans" w:eastAsia="Noto Sans"/>
          <w:b/>
          <w:i w:val="0"/>
          <w:color w:val="B6863B"/>
          <w:sz w:val="17"/>
        </w:rPr>
        <w:t>AGENT 5</w:t>
      </w:r>
    </w:p>
    <w:p>
      <w:pPr>
        <w:spacing w:after="120"/>
      </w:pPr>
      <w:r>
        <w:rPr>
          <w:rFonts w:ascii="Noto Sans" w:hAnsi="Noto Sans" w:eastAsia="Noto Sans"/>
          <w:b/>
          <w:i w:val="0"/>
          <w:color w:val="18324A"/>
          <w:sz w:val="48"/>
        </w:rPr>
        <w:t>Theory Refiner</w:t>
      </w:r>
    </w:p>
    <w:p>
      <w:pPr>
        <w:spacing w:after="240"/>
      </w:pPr>
      <w:r>
        <w:rPr>
          <w:rFonts w:ascii="Noto Sans" w:hAnsi="Noto Sans" w:eastAsia="Noto Sans"/>
          <w:b w:val="0"/>
          <w:i w:val="0"/>
          <w:color w:val="5D6873"/>
          <w:sz w:val="22"/>
        </w:rPr>
        <w:t>Let the evidence change the model before the model changes the reader.</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The research has been audited and the original thesis can now be compared to the evidence.</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Original thesis card</w:t>
      </w:r>
    </w:p>
    <w:p>
      <w:pPr>
        <w:pStyle w:val="ListBullet"/>
        <w:spacing w:after="80"/>
      </w:pPr>
      <w:r>
        <w:rPr>
          <w:rFonts w:ascii="Noto Sans" w:hAnsi="Noto Sans" w:eastAsia="Noto Sans"/>
          <w:b w:val="0"/>
          <w:i w:val="0"/>
          <w:sz w:val="20"/>
        </w:rPr>
        <w:t>Evidence audit memo</w:t>
      </w:r>
    </w:p>
    <w:p>
      <w:pPr>
        <w:pStyle w:val="ListBullet"/>
        <w:spacing w:after="80"/>
      </w:pPr>
      <w:r>
        <w:rPr>
          <w:rFonts w:ascii="Noto Sans" w:hAnsi="Noto Sans" w:eastAsia="Noto Sans"/>
          <w:b w:val="0"/>
          <w:i w:val="0"/>
          <w:sz w:val="20"/>
        </w:rPr>
        <w:t>Research report</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State which parts of the original theory survived unchanged.</w:t>
      </w:r>
    </w:p>
    <w:p>
      <w:pPr>
        <w:pStyle w:val="ListNumber"/>
        <w:spacing w:after="80"/>
      </w:pPr>
      <w:r>
        <w:rPr>
          <w:rFonts w:ascii="Noto Sans" w:hAnsi="Noto Sans" w:eastAsia="Noto Sans"/>
          <w:b w:val="0"/>
          <w:i w:val="0"/>
          <w:sz w:val="20"/>
        </w:rPr>
        <w:t>Identify variables the original model collapsed together.</w:t>
      </w:r>
    </w:p>
    <w:p>
      <w:pPr>
        <w:pStyle w:val="ListNumber"/>
        <w:spacing w:after="80"/>
      </w:pPr>
      <w:r>
        <w:rPr>
          <w:rFonts w:ascii="Noto Sans" w:hAnsi="Noto Sans" w:eastAsia="Noto Sans"/>
          <w:b w:val="0"/>
          <w:i w:val="0"/>
          <w:sz w:val="20"/>
        </w:rPr>
        <w:t>Add necessary distinctions, boundary conditions, and exceptions.</w:t>
      </w:r>
    </w:p>
    <w:p>
      <w:pPr>
        <w:pStyle w:val="ListNumber"/>
        <w:spacing w:after="80"/>
      </w:pPr>
      <w:r>
        <w:rPr>
          <w:rFonts w:ascii="Noto Sans" w:hAnsi="Noto Sans" w:eastAsia="Noto Sans"/>
          <w:b w:val="0"/>
          <w:i w:val="0"/>
          <w:sz w:val="20"/>
        </w:rPr>
        <w:t>Rename or replace tests that overclaimed.</w:t>
      </w:r>
    </w:p>
    <w:p>
      <w:pPr>
        <w:pStyle w:val="ListNumber"/>
        <w:spacing w:after="80"/>
      </w:pPr>
      <w:r>
        <w:rPr>
          <w:rFonts w:ascii="Noto Sans" w:hAnsi="Noto Sans" w:eastAsia="Noto Sans"/>
          <w:b w:val="0"/>
          <w:i w:val="0"/>
          <w:sz w:val="20"/>
        </w:rPr>
        <w:t>Write the smallest formal model that captures the updated theory.</w:t>
      </w:r>
    </w:p>
    <w:p>
      <w:pPr>
        <w:pStyle w:val="ListNumber"/>
        <w:spacing w:after="80"/>
      </w:pPr>
      <w:r>
        <w:rPr>
          <w:rFonts w:ascii="Noto Sans" w:hAnsi="Noto Sans" w:eastAsia="Noto Sans"/>
          <w:b w:val="0"/>
          <w:i w:val="0"/>
          <w:sz w:val="20"/>
        </w:rPr>
        <w:t>Produce a before/after theory comparison in plain language.</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The updated theory must explain at least one case that the original theory handled poorly. Otherwise the research has not materially informed the model.</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theory update memo with revised definitions, equations/logic if useful, tests, exceptions, and a one-sentence central claim.</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 Theory Refiner. Compare the original framework with the audited research. Preserve what survived, but explicitly revise what did not. Separate outcome quality, capability, authorization, authority, goal ownership, consent, necessity, proportionality, and accountability when relevant. Produce: (1) what changed, (2) why it changed, (3) the refined model, (4) renamed or revised diagnostics, and (5) a one-sentence claim that is strong but publication-safe.</w:t>
            </w:r>
          </w:p>
        </w:tc>
      </w:tr>
    </w:tbl>
    <w:p>
      <w:pPr>
        <w:spacing w:after="20"/>
      </w:pPr>
    </w:p>
    <w:p>
      <w:r>
        <w:br w:type="page"/>
      </w:r>
    </w:p>
    <w:p>
      <w:pPr>
        <w:spacing w:after="80"/>
      </w:pPr>
      <w:r>
        <w:rPr>
          <w:rFonts w:ascii="Noto Sans" w:hAnsi="Noto Sans" w:eastAsia="Noto Sans"/>
          <w:b/>
          <w:i w:val="0"/>
          <w:color w:val="B6863B"/>
          <w:sz w:val="17"/>
        </w:rPr>
        <w:t>AGENT 6</w:t>
      </w:r>
    </w:p>
    <w:p>
      <w:pPr>
        <w:spacing w:after="120"/>
      </w:pPr>
      <w:r>
        <w:rPr>
          <w:rFonts w:ascii="Noto Sans" w:hAnsi="Noto Sans" w:eastAsia="Noto Sans"/>
          <w:b/>
          <w:i w:val="0"/>
          <w:color w:val="18324A"/>
          <w:sz w:val="48"/>
        </w:rPr>
        <w:t>Article Builder</w:t>
      </w:r>
    </w:p>
    <w:p>
      <w:pPr>
        <w:spacing w:after="240"/>
      </w:pPr>
      <w:r>
        <w:rPr>
          <w:rFonts w:ascii="Noto Sans" w:hAnsi="Noto Sans" w:eastAsia="Noto Sans"/>
          <w:b w:val="0"/>
          <w:i w:val="0"/>
          <w:color w:val="5D6873"/>
          <w:sz w:val="22"/>
        </w:rPr>
        <w:t>Turn the refined theory into a readable public argument without flattening the evidence boundaries.</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The theory has been updated and the publication-safe claims are known.</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Theory update memo</w:t>
      </w:r>
    </w:p>
    <w:p>
      <w:pPr>
        <w:pStyle w:val="ListBullet"/>
        <w:spacing w:after="80"/>
      </w:pPr>
      <w:r>
        <w:rPr>
          <w:rFonts w:ascii="Noto Sans" w:hAnsi="Noto Sans" w:eastAsia="Noto Sans"/>
          <w:b w:val="0"/>
          <w:i w:val="0"/>
          <w:sz w:val="20"/>
        </w:rPr>
        <w:t>Evidence audit memo</w:t>
      </w:r>
    </w:p>
    <w:p>
      <w:pPr>
        <w:pStyle w:val="ListBullet"/>
        <w:spacing w:after="80"/>
      </w:pPr>
      <w:r>
        <w:rPr>
          <w:rFonts w:ascii="Noto Sans" w:hAnsi="Noto Sans" w:eastAsia="Noto Sans"/>
          <w:b w:val="0"/>
          <w:i w:val="0"/>
          <w:sz w:val="20"/>
        </w:rPr>
        <w:t>Verified sources</w:t>
      </w:r>
    </w:p>
    <w:p>
      <w:pPr>
        <w:pStyle w:val="ListBullet"/>
        <w:spacing w:after="80"/>
      </w:pPr>
      <w:r>
        <w:rPr>
          <w:rFonts w:ascii="Noto Sans" w:hAnsi="Noto Sans" w:eastAsia="Noto Sans"/>
          <w:b w:val="0"/>
          <w:i w:val="0"/>
          <w:sz w:val="20"/>
        </w:rPr>
        <w:t>Author voice and audience</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Open with the human problem or live question, not a literature review.</w:t>
      </w:r>
    </w:p>
    <w:p>
      <w:pPr>
        <w:pStyle w:val="ListNumber"/>
        <w:spacing w:after="80"/>
      </w:pPr>
      <w:r>
        <w:rPr>
          <w:rFonts w:ascii="Noto Sans" w:hAnsi="Noto Sans" w:eastAsia="Noto Sans"/>
          <w:b w:val="0"/>
          <w:i w:val="0"/>
          <w:sz w:val="20"/>
        </w:rPr>
        <w:t>Introduce the structural model only after the reader understands the stakes.</w:t>
      </w:r>
    </w:p>
    <w:p>
      <w:pPr>
        <w:pStyle w:val="ListNumber"/>
        <w:spacing w:after="80"/>
      </w:pPr>
      <w:r>
        <w:rPr>
          <w:rFonts w:ascii="Noto Sans" w:hAnsi="Noto Sans" w:eastAsia="Noto Sans"/>
          <w:b w:val="0"/>
          <w:i w:val="0"/>
          <w:sz w:val="20"/>
        </w:rPr>
        <w:t>Use cross-domain examples to demonstrate recurrence, not to claim equivalence.</w:t>
      </w:r>
    </w:p>
    <w:p>
      <w:pPr>
        <w:pStyle w:val="ListNumber"/>
        <w:spacing w:after="80"/>
      </w:pPr>
      <w:r>
        <w:rPr>
          <w:rFonts w:ascii="Noto Sans" w:hAnsi="Noto Sans" w:eastAsia="Noto Sans"/>
          <w:b w:val="0"/>
          <w:i w:val="0"/>
          <w:sz w:val="20"/>
        </w:rPr>
        <w:t>State exceptions before critics have to supply them.</w:t>
      </w:r>
    </w:p>
    <w:p>
      <w:pPr>
        <w:pStyle w:val="ListNumber"/>
        <w:spacing w:after="80"/>
      </w:pPr>
      <w:r>
        <w:rPr>
          <w:rFonts w:ascii="Noto Sans" w:hAnsi="Noto Sans" w:eastAsia="Noto Sans"/>
          <w:b w:val="0"/>
          <w:i w:val="0"/>
          <w:sz w:val="20"/>
        </w:rPr>
        <w:t>Mark original analytical terms as working formulations when they are not standard academic terms.</w:t>
      </w:r>
    </w:p>
    <w:p>
      <w:pPr>
        <w:pStyle w:val="ListNumber"/>
        <w:spacing w:after="80"/>
      </w:pPr>
      <w:r>
        <w:rPr>
          <w:rFonts w:ascii="Noto Sans" w:hAnsi="Noto Sans" w:eastAsia="Noto Sans"/>
          <w:b w:val="0"/>
          <w:i w:val="0"/>
          <w:sz w:val="20"/>
        </w:rPr>
        <w:t>Place sources close to the claims they support.</w:t>
      </w:r>
    </w:p>
    <w:p>
      <w:pPr>
        <w:pStyle w:val="ListNumber"/>
        <w:spacing w:after="80"/>
      </w:pPr>
      <w:r>
        <w:rPr>
          <w:rFonts w:ascii="Noto Sans" w:hAnsi="Noto Sans" w:eastAsia="Noto Sans"/>
          <w:b w:val="0"/>
          <w:i w:val="0"/>
          <w:sz w:val="20"/>
        </w:rPr>
        <w:t>End with a practical diagnostic or question the reader can use.</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Every major factual claim should be traceable to a source, and every original synthesis should be recognizable as synthesis rather than inherited authority.</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web-ready long-form article with title, subtitle, central claim, section architecture, bounded examples, references, and a final diagnostic.</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an Article Builder. Write a public-facing long-form article from the refined theory and audited evidence. Preserve the author’s voice, but keep research boundaries explicit. Do not present proposed framework terms as standardized scholarship. Use examples to reveal structure without creating false equivalence. Include legitimate exceptions and counterarguments. End with the clearest answer to the central question and a concise references section.</w:t>
            </w:r>
          </w:p>
        </w:tc>
      </w:tr>
    </w:tbl>
    <w:p>
      <w:pPr>
        <w:spacing w:after="20"/>
      </w:pPr>
    </w:p>
    <w:p>
      <w:r>
        <w:br w:type="page"/>
      </w:r>
    </w:p>
    <w:p>
      <w:pPr>
        <w:spacing w:after="80"/>
      </w:pPr>
      <w:r>
        <w:rPr>
          <w:rFonts w:ascii="Noto Sans" w:hAnsi="Noto Sans" w:eastAsia="Noto Sans"/>
          <w:b/>
          <w:i w:val="0"/>
          <w:color w:val="B6863B"/>
          <w:sz w:val="17"/>
        </w:rPr>
        <w:t>AGENT 7</w:t>
      </w:r>
    </w:p>
    <w:p>
      <w:pPr>
        <w:spacing w:after="120"/>
      </w:pPr>
      <w:r>
        <w:rPr>
          <w:rFonts w:ascii="Noto Sans" w:hAnsi="Noto Sans" w:eastAsia="Noto Sans"/>
          <w:b/>
          <w:i w:val="0"/>
          <w:color w:val="18324A"/>
          <w:sz w:val="48"/>
        </w:rPr>
        <w:t>Publication Architect</w:t>
      </w:r>
    </w:p>
    <w:p>
      <w:pPr>
        <w:spacing w:after="240"/>
      </w:pPr>
      <w:r>
        <w:rPr>
          <w:rFonts w:ascii="Noto Sans" w:hAnsi="Noto Sans" w:eastAsia="Noto Sans"/>
          <w:b w:val="0"/>
          <w:i w:val="0"/>
          <w:color w:val="5D6873"/>
          <w:sz w:val="22"/>
        </w:rPr>
        <w:t>Make the article belong to the site rather than merely exist on it.</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The article is final and needs a canonical public home.</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Final article</w:t>
      </w:r>
    </w:p>
    <w:p>
      <w:pPr>
        <w:pStyle w:val="ListBullet"/>
        <w:spacing w:after="80"/>
      </w:pPr>
      <w:r>
        <w:rPr>
          <w:rFonts w:ascii="Noto Sans" w:hAnsi="Noto Sans" w:eastAsia="Noto Sans"/>
          <w:b w:val="0"/>
          <w:i w:val="0"/>
          <w:sz w:val="20"/>
        </w:rPr>
        <w:t>Current site architecture</w:t>
      </w:r>
    </w:p>
    <w:p>
      <w:pPr>
        <w:pStyle w:val="ListBullet"/>
        <w:spacing w:after="80"/>
      </w:pPr>
      <w:r>
        <w:rPr>
          <w:rFonts w:ascii="Noto Sans" w:hAnsi="Noto Sans" w:eastAsia="Noto Sans"/>
          <w:b w:val="0"/>
          <w:i w:val="0"/>
          <w:sz w:val="20"/>
        </w:rPr>
        <w:t>Existing article/essay/research boundaries</w:t>
      </w:r>
    </w:p>
    <w:p>
      <w:pPr>
        <w:pStyle w:val="ListBullet"/>
        <w:spacing w:after="80"/>
      </w:pPr>
      <w:r>
        <w:rPr>
          <w:rFonts w:ascii="Noto Sans" w:hAnsi="Noto Sans" w:eastAsia="Noto Sans"/>
          <w:b w:val="0"/>
          <w:i w:val="0"/>
          <w:sz w:val="20"/>
        </w:rPr>
        <w:t>SEO and metadata conventions</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Inspect the existing site before choosing a location.</w:t>
      </w:r>
    </w:p>
    <w:p>
      <w:pPr>
        <w:pStyle w:val="ListNumber"/>
        <w:spacing w:after="80"/>
      </w:pPr>
      <w:r>
        <w:rPr>
          <w:rFonts w:ascii="Noto Sans" w:hAnsi="Noto Sans" w:eastAsia="Noto Sans"/>
          <w:b w:val="0"/>
          <w:i w:val="0"/>
          <w:sz w:val="20"/>
        </w:rPr>
        <w:t>Classify the piece by the site’s own publication rules rather than by title or length alone.</w:t>
      </w:r>
    </w:p>
    <w:p>
      <w:pPr>
        <w:pStyle w:val="ListNumber"/>
        <w:spacing w:after="80"/>
      </w:pPr>
      <w:r>
        <w:rPr>
          <w:rFonts w:ascii="Noto Sans" w:hAnsi="Noto Sans" w:eastAsia="Noto Sans"/>
          <w:b w:val="0"/>
          <w:i w:val="0"/>
          <w:sz w:val="20"/>
        </w:rPr>
        <w:t>Reuse the existing article template and navigation patterns.</w:t>
      </w:r>
    </w:p>
    <w:p>
      <w:pPr>
        <w:pStyle w:val="ListNumber"/>
        <w:spacing w:after="80"/>
      </w:pPr>
      <w:r>
        <w:rPr>
          <w:rFonts w:ascii="Noto Sans" w:hAnsi="Noto Sans" w:eastAsia="Noto Sans"/>
          <w:b w:val="0"/>
          <w:i w:val="0"/>
          <w:sz w:val="20"/>
        </w:rPr>
        <w:t>Create canonical metadata, Article schema, social metadata, and publication date.</w:t>
      </w:r>
    </w:p>
    <w:p>
      <w:pPr>
        <w:pStyle w:val="ListNumber"/>
        <w:spacing w:after="80"/>
      </w:pPr>
      <w:r>
        <w:rPr>
          <w:rFonts w:ascii="Noto Sans" w:hAnsi="Noto Sans" w:eastAsia="Noto Sans"/>
          <w:b w:val="0"/>
          <w:i w:val="0"/>
          <w:sz w:val="20"/>
        </w:rPr>
        <w:t>Add the piece to the appropriate index in chronological order.</w:t>
      </w:r>
    </w:p>
    <w:p>
      <w:pPr>
        <w:pStyle w:val="ListNumber"/>
        <w:spacing w:after="80"/>
      </w:pPr>
      <w:r>
        <w:rPr>
          <w:rFonts w:ascii="Noto Sans" w:hAnsi="Noto Sans" w:eastAsia="Noto Sans"/>
          <w:b w:val="0"/>
          <w:i w:val="0"/>
          <w:sz w:val="20"/>
        </w:rPr>
        <w:t>Update the sitemap or discovery structure if the site uses one.</w:t>
      </w:r>
    </w:p>
    <w:p>
      <w:pPr>
        <w:pStyle w:val="ListNumber"/>
        <w:spacing w:after="80"/>
      </w:pPr>
      <w:r>
        <w:rPr>
          <w:rFonts w:ascii="Noto Sans" w:hAnsi="Noto Sans" w:eastAsia="Noto Sans"/>
          <w:b w:val="0"/>
          <w:i w:val="0"/>
          <w:sz w:val="20"/>
        </w:rPr>
        <w:t>Avoid inventing a new homepage rule merely because the article is new.</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Publication is not complete until the article is reachable through the site’s existing information architecture and its canonical URL is represented in the discovery layer.</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published canonical page plus any required index, sitemap, metadata, and navigation updates.</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 Publication Architect. First inspect the current site structure and existing content boundaries. Decide where this article belongs based on those rules. Then package it using the existing template, canonical URL pattern, metadata, structured data, navigation, index ordering, and sitemap conventions. Make the smallest coherent set of site changes. Do not create a new homepage rule unless the existing architecture requires it.</w:t>
            </w:r>
          </w:p>
        </w:tc>
      </w:tr>
    </w:tbl>
    <w:p>
      <w:pPr>
        <w:spacing w:after="20"/>
      </w:pPr>
    </w:p>
    <w:p>
      <w:r>
        <w:br w:type="page"/>
      </w:r>
    </w:p>
    <w:p>
      <w:pPr>
        <w:spacing w:after="80"/>
      </w:pPr>
      <w:r>
        <w:rPr>
          <w:rFonts w:ascii="Noto Sans" w:hAnsi="Noto Sans" w:eastAsia="Noto Sans"/>
          <w:b/>
          <w:i w:val="0"/>
          <w:color w:val="B6863B"/>
          <w:sz w:val="17"/>
        </w:rPr>
        <w:t>AGENT 8</w:t>
      </w:r>
    </w:p>
    <w:p>
      <w:pPr>
        <w:spacing w:after="120"/>
      </w:pPr>
      <w:r>
        <w:rPr>
          <w:rFonts w:ascii="Noto Sans" w:hAnsi="Noto Sans" w:eastAsia="Noto Sans"/>
          <w:b/>
          <w:i w:val="0"/>
          <w:color w:val="18324A"/>
          <w:sz w:val="48"/>
        </w:rPr>
        <w:t>Distribution Agent</w:t>
      </w:r>
    </w:p>
    <w:p>
      <w:pPr>
        <w:spacing w:after="240"/>
      </w:pPr>
      <w:r>
        <w:rPr>
          <w:rFonts w:ascii="Noto Sans" w:hAnsi="Noto Sans" w:eastAsia="Noto Sans"/>
          <w:b w:val="0"/>
          <w:i w:val="0"/>
          <w:color w:val="5D6873"/>
          <w:sz w:val="22"/>
        </w:rPr>
        <w:t>Translate one canonical article into platform-native invitations to read it.</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Trigger</w:t>
            </w:r>
          </w:p>
          <w:p>
            <w:pPr>
              <w:spacing w:after="0"/>
            </w:pPr>
            <w:r>
              <w:rPr>
                <w:rFonts w:ascii="Noto Sans" w:hAnsi="Noto Sans" w:eastAsia="Noto Sans"/>
                <w:b w:val="0"/>
                <w:i w:val="0"/>
                <w:color w:val="1B1F23"/>
                <w:sz w:val="19"/>
              </w:rPr>
              <w:t>The canonical article is live and has a stable URL.</w:t>
            </w:r>
          </w:p>
        </w:tc>
      </w:tr>
    </w:tbl>
    <w:p>
      <w:pPr>
        <w:spacing w:after="40"/>
      </w:pPr>
    </w:p>
    <w:p>
      <w:pPr>
        <w:spacing w:before="80" w:after="60"/>
      </w:pPr>
      <w:r>
        <w:rPr>
          <w:rFonts w:ascii="Noto Sans" w:hAnsi="Noto Sans" w:eastAsia="Noto Sans"/>
          <w:b/>
          <w:i w:val="0"/>
          <w:color w:val="315A78"/>
          <w:sz w:val="16"/>
        </w:rPr>
        <w:t>INPUTS</w:t>
      </w:r>
    </w:p>
    <w:p>
      <w:pPr>
        <w:pStyle w:val="ListBullet"/>
        <w:spacing w:after="80"/>
      </w:pPr>
      <w:r>
        <w:rPr>
          <w:rFonts w:ascii="Noto Sans" w:hAnsi="Noto Sans" w:eastAsia="Noto Sans"/>
          <w:b w:val="0"/>
          <w:i w:val="0"/>
          <w:sz w:val="20"/>
        </w:rPr>
        <w:t>Final article</w:t>
      </w:r>
    </w:p>
    <w:p>
      <w:pPr>
        <w:pStyle w:val="ListBullet"/>
        <w:spacing w:after="80"/>
      </w:pPr>
      <w:r>
        <w:rPr>
          <w:rFonts w:ascii="Noto Sans" w:hAnsi="Noto Sans" w:eastAsia="Noto Sans"/>
          <w:b w:val="0"/>
          <w:i w:val="0"/>
          <w:sz w:val="20"/>
        </w:rPr>
        <w:t>Canonical URL</w:t>
      </w:r>
    </w:p>
    <w:p>
      <w:pPr>
        <w:pStyle w:val="ListBullet"/>
        <w:spacing w:after="80"/>
      </w:pPr>
      <w:r>
        <w:rPr>
          <w:rFonts w:ascii="Noto Sans" w:hAnsi="Noto Sans" w:eastAsia="Noto Sans"/>
          <w:b w:val="0"/>
          <w:i w:val="0"/>
          <w:sz w:val="20"/>
        </w:rPr>
        <w:t>Target platforms</w:t>
      </w:r>
    </w:p>
    <w:p>
      <w:pPr>
        <w:pStyle w:val="ListBullet"/>
        <w:spacing w:after="80"/>
      </w:pPr>
      <w:r>
        <w:rPr>
          <w:rFonts w:ascii="Noto Sans" w:hAnsi="Noto Sans" w:eastAsia="Noto Sans"/>
          <w:b w:val="0"/>
          <w:i w:val="0"/>
          <w:sz w:val="20"/>
        </w:rPr>
        <w:t>Author’s tone</w:t>
      </w:r>
    </w:p>
    <w:p>
      <w:pPr>
        <w:spacing w:before="80" w:after="60"/>
      </w:pPr>
      <w:r>
        <w:rPr>
          <w:rFonts w:ascii="Noto Sans" w:hAnsi="Noto Sans" w:eastAsia="Noto Sans"/>
          <w:b/>
          <w:i w:val="0"/>
          <w:color w:val="315A78"/>
          <w:sz w:val="16"/>
        </w:rPr>
        <w:t>AGENT ACTIONS</w:t>
      </w:r>
    </w:p>
    <w:p>
      <w:pPr>
        <w:pStyle w:val="ListNumber"/>
        <w:spacing w:after="80"/>
      </w:pPr>
      <w:r>
        <w:rPr>
          <w:rFonts w:ascii="Noto Sans" w:hAnsi="Noto Sans" w:eastAsia="Noto Sans"/>
          <w:b w:val="0"/>
          <w:i w:val="0"/>
          <w:sz w:val="20"/>
        </w:rPr>
        <w:t>Extract 3–5 independently interesting hooks from the article.</w:t>
      </w:r>
    </w:p>
    <w:p>
      <w:pPr>
        <w:pStyle w:val="ListNumber"/>
        <w:spacing w:after="80"/>
      </w:pPr>
      <w:r>
        <w:rPr>
          <w:rFonts w:ascii="Noto Sans" w:hAnsi="Noto Sans" w:eastAsia="Noto Sans"/>
          <w:b w:val="0"/>
          <w:i w:val="0"/>
          <w:sz w:val="20"/>
        </w:rPr>
        <w:t>Match post length and cadence to each platform.</w:t>
      </w:r>
    </w:p>
    <w:p>
      <w:pPr>
        <w:pStyle w:val="ListNumber"/>
        <w:spacing w:after="80"/>
      </w:pPr>
      <w:r>
        <w:rPr>
          <w:rFonts w:ascii="Noto Sans" w:hAnsi="Noto Sans" w:eastAsia="Noto Sans"/>
          <w:b w:val="0"/>
          <w:i w:val="0"/>
          <w:sz w:val="20"/>
        </w:rPr>
        <w:t>Do not turn every platform into the same shortened LinkedIn post.</w:t>
      </w:r>
    </w:p>
    <w:p>
      <w:pPr>
        <w:pStyle w:val="ListNumber"/>
        <w:spacing w:after="80"/>
      </w:pPr>
      <w:r>
        <w:rPr>
          <w:rFonts w:ascii="Noto Sans" w:hAnsi="Noto Sans" w:eastAsia="Noto Sans"/>
          <w:b w:val="0"/>
          <w:i w:val="0"/>
          <w:sz w:val="20"/>
        </w:rPr>
        <w:t>Preserve one memorable conceptual line or formula where useful.</w:t>
      </w:r>
    </w:p>
    <w:p>
      <w:pPr>
        <w:pStyle w:val="ListNumber"/>
        <w:spacing w:after="80"/>
      </w:pPr>
      <w:r>
        <w:rPr>
          <w:rFonts w:ascii="Noto Sans" w:hAnsi="Noto Sans" w:eastAsia="Noto Sans"/>
          <w:b w:val="0"/>
          <w:i w:val="0"/>
          <w:sz w:val="20"/>
        </w:rPr>
        <w:t>Link back to the canonical article.</w:t>
      </w:r>
    </w:p>
    <w:p>
      <w:pPr>
        <w:pStyle w:val="ListNumber"/>
        <w:spacing w:after="80"/>
      </w:pPr>
      <w:r>
        <w:rPr>
          <w:rFonts w:ascii="Noto Sans" w:hAnsi="Noto Sans" w:eastAsia="Noto Sans"/>
          <w:b w:val="0"/>
          <w:i w:val="0"/>
          <w:sz w:val="20"/>
        </w:rPr>
        <w:t>Keep the post valuable enough to stand alone while leaving a reason to click.</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Gate before advancing</w:t>
            </w:r>
          </w:p>
          <w:p>
            <w:pPr>
              <w:spacing w:after="0"/>
            </w:pPr>
            <w:r>
              <w:rPr>
                <w:rFonts w:ascii="Noto Sans" w:hAnsi="Noto Sans" w:eastAsia="Noto Sans"/>
                <w:b w:val="0"/>
                <w:i w:val="0"/>
                <w:color w:val="1B1F23"/>
                <w:sz w:val="19"/>
              </w:rPr>
              <w:t>The rollout must not introduce claims stronger than the article itself. Distribution copy inherits the article’s evidence boundaries.</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EEF3F7"/>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Required output</w:t>
            </w:r>
          </w:p>
          <w:p>
            <w:pPr>
              <w:spacing w:after="0"/>
            </w:pPr>
            <w:r>
              <w:rPr>
                <w:rFonts w:ascii="Noto Sans" w:hAnsi="Noto Sans" w:eastAsia="Noto Sans"/>
                <w:b w:val="0"/>
                <w:i w:val="0"/>
                <w:color w:val="1B1F23"/>
                <w:sz w:val="19"/>
              </w:rPr>
              <w:t>A platform-specific rollout set: Facebook, LinkedIn, X, Threads, and any other requested channels.</w:t>
            </w:r>
          </w:p>
        </w:tc>
      </w:tr>
    </w:tbl>
    <w:p>
      <w:pPr>
        <w:spacing w:after="40"/>
      </w:pPr>
    </w:p>
    <w:p>
      <w:pPr>
        <w:spacing w:before="80" w:after="60"/>
      </w:pPr>
      <w:r>
        <w:rPr>
          <w:rFonts w:ascii="Noto Sans" w:hAnsi="Noto Sans" w:eastAsia="Noto Sans"/>
          <w:b/>
          <w:i w:val="0"/>
          <w:color w:val="315A78"/>
          <w:sz w:val="16"/>
        </w:rPr>
        <w:t>REUSABLE STAGE PROMPT</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7"/>
              </w:rPr>
              <w:t>Act as a Distribution Agent. Create platform-native rollout posts from the final article. Preserve the article’s claim boundaries and do not add unsupported certainty. For each platform, choose a hook suited to its culture and length. Make each post useful on its own, then point back to the canonical article. Avoid copy-pasting the same paragraph everywhere.</w:t>
            </w:r>
          </w:p>
        </w:tc>
      </w:tr>
    </w:tbl>
    <w:p>
      <w:pPr>
        <w:spacing w:after="20"/>
      </w:pPr>
    </w:p>
    <w:p>
      <w:r>
        <w:br w:type="page"/>
      </w:r>
    </w:p>
    <w:p>
      <w:pPr>
        <w:spacing w:after="80"/>
      </w:pPr>
      <w:r>
        <w:rPr>
          <w:rFonts w:ascii="Noto Sans" w:hAnsi="Noto Sans" w:eastAsia="Noto Sans"/>
          <w:b/>
          <w:i w:val="0"/>
          <w:color w:val="B6863B"/>
          <w:sz w:val="17"/>
        </w:rPr>
        <w:t>GOVERNANCE</w:t>
      </w:r>
    </w:p>
    <w:p>
      <w:pPr>
        <w:spacing w:after="120"/>
      </w:pPr>
      <w:r>
        <w:rPr>
          <w:rFonts w:ascii="Noto Sans" w:hAnsi="Noto Sans" w:eastAsia="Noto Sans"/>
          <w:b/>
          <w:i w:val="0"/>
          <w:color w:val="18324A"/>
          <w:sz w:val="48"/>
        </w:rPr>
        <w:t>The six gates that keep the workflow honest</w:t>
      </w:r>
    </w:p>
    <w:p>
      <w:pPr>
        <w:spacing w:after="240"/>
      </w:pPr>
      <w:r>
        <w:rPr>
          <w:rFonts w:ascii="Noto Sans" w:hAnsi="Noto Sans" w:eastAsia="Noto Sans"/>
          <w:b w:val="0"/>
          <w:i w:val="0"/>
          <w:color w:val="5D6873"/>
          <w:sz w:val="22"/>
        </w:rPr>
        <w:t>These are the non-negotiable checks between “interesting” and “publishable.”</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G1 — Signal / Thesis</w:t>
            </w:r>
          </w:p>
          <w:p>
            <w:pPr>
              <w:spacing w:after="0"/>
            </w:pPr>
            <w:r>
              <w:rPr>
                <w:rFonts w:ascii="Noto Sans" w:hAnsi="Noto Sans" w:eastAsia="Noto Sans"/>
                <w:b w:val="0"/>
                <w:i w:val="0"/>
                <w:color w:val="1B1F23"/>
                <w:sz w:val="19"/>
              </w:rPr>
              <w:t>Can the thesis be stated without pretending the anecdote proves it?</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G2 — Thesis / Research</w:t>
            </w:r>
          </w:p>
          <w:p>
            <w:pPr>
              <w:spacing w:after="0"/>
            </w:pPr>
            <w:r>
              <w:rPr>
                <w:rFonts w:ascii="Noto Sans" w:hAnsi="Noto Sans" w:eastAsia="Noto Sans"/>
                <w:b w:val="0"/>
                <w:i w:val="0"/>
                <w:color w:val="1B1F23"/>
                <w:sz w:val="19"/>
              </w:rPr>
              <w:t>Could the research plausibly falsify or materially revise the thesis?</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G3 — Research / Theory</w:t>
            </w:r>
          </w:p>
          <w:p>
            <w:pPr>
              <w:spacing w:after="0"/>
            </w:pPr>
            <w:r>
              <w:rPr>
                <w:rFonts w:ascii="Noto Sans" w:hAnsi="Noto Sans" w:eastAsia="Noto Sans"/>
                <w:b w:val="0"/>
                <w:i w:val="0"/>
                <w:color w:val="1B1F23"/>
                <w:sz w:val="19"/>
              </w:rPr>
              <w:t>Are strong sources distinguishable from weak examples and analogies?</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G4 — Theory / Draft</w:t>
            </w:r>
          </w:p>
          <w:p>
            <w:pPr>
              <w:spacing w:after="0"/>
            </w:pPr>
            <w:r>
              <w:rPr>
                <w:rFonts w:ascii="Noto Sans" w:hAnsi="Noto Sans" w:eastAsia="Noto Sans"/>
                <w:b w:val="0"/>
                <w:i w:val="0"/>
                <w:color w:val="1B1F23"/>
                <w:sz w:val="19"/>
              </w:rPr>
              <w:t>Did the theory actually change in response to evidence, or did the evidence merely decorate it?</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G5 — Draft / Publication</w:t>
            </w:r>
          </w:p>
          <w:p>
            <w:pPr>
              <w:spacing w:after="0"/>
            </w:pPr>
            <w:r>
              <w:rPr>
                <w:rFonts w:ascii="Noto Sans" w:hAnsi="Noto Sans" w:eastAsia="Noto Sans"/>
                <w:b w:val="0"/>
                <w:i w:val="0"/>
                <w:color w:val="1B1F23"/>
                <w:sz w:val="19"/>
              </w:rPr>
              <w:t>Can readers tell the difference between sourced fact, contested interpretation, and original synthesis?</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G6 — Publication / Distribution</w:t>
            </w:r>
          </w:p>
          <w:p>
            <w:pPr>
              <w:spacing w:after="0"/>
            </w:pPr>
            <w:r>
              <w:rPr>
                <w:rFonts w:ascii="Noto Sans" w:hAnsi="Noto Sans" w:eastAsia="Noto Sans"/>
                <w:b w:val="0"/>
                <w:i w:val="0"/>
                <w:color w:val="1B1F23"/>
                <w:sz w:val="19"/>
              </w:rPr>
              <w:t>Does every rollout post stay inside the article’s claim boundary?</w:t>
            </w:r>
          </w:p>
        </w:tc>
      </w:tr>
    </w:tbl>
    <w:p>
      <w:pPr>
        <w:spacing w:after="40"/>
      </w:pPr>
    </w:p>
    <w:p>
      <w:pPr>
        <w:spacing w:before="80" w:after="60"/>
      </w:pPr>
      <w:r>
        <w:rPr>
          <w:rFonts w:ascii="Noto Sans" w:hAnsi="Noto Sans" w:eastAsia="Noto Sans"/>
          <w:b/>
          <w:i w:val="0"/>
          <w:color w:val="315A78"/>
          <w:sz w:val="16"/>
        </w:rPr>
        <w:t>CLAIM LABELS THAT REDUCE ACCIDENTAL OVERREACH</w:t>
      </w:r>
    </w:p>
    <w:p>
      <w:pPr>
        <w:pStyle w:val="ListBullet"/>
        <w:spacing w:after="80"/>
      </w:pPr>
      <w:r>
        <w:rPr>
          <w:rFonts w:ascii="Noto Sans" w:hAnsi="Noto Sans" w:eastAsia="Noto Sans"/>
          <w:b w:val="0"/>
          <w:i w:val="0"/>
          <w:sz w:val="20"/>
        </w:rPr>
        <w:t>Established: directly grounded in a reliable source or well-supported literature.</w:t>
      </w:r>
    </w:p>
    <w:p>
      <w:pPr>
        <w:pStyle w:val="ListBullet"/>
        <w:spacing w:after="80"/>
      </w:pPr>
      <w:r>
        <w:rPr>
          <w:rFonts w:ascii="Noto Sans" w:hAnsi="Noto Sans" w:eastAsia="Noto Sans"/>
          <w:b w:val="0"/>
          <w:i w:val="0"/>
          <w:sz w:val="20"/>
        </w:rPr>
        <w:t>Contested: credible sources disagree or the interpretation is materially debated.</w:t>
      </w:r>
    </w:p>
    <w:p>
      <w:pPr>
        <w:pStyle w:val="ListBullet"/>
        <w:spacing w:after="80"/>
      </w:pPr>
      <w:r>
        <w:rPr>
          <w:rFonts w:ascii="Noto Sans" w:hAnsi="Noto Sans" w:eastAsia="Noto Sans"/>
          <w:b w:val="0"/>
          <w:i w:val="0"/>
          <w:sz w:val="20"/>
        </w:rPr>
        <w:t>Synthesis: your cross-source inference; sources support the pieces, but the combined claim is yours.</w:t>
      </w:r>
    </w:p>
    <w:p>
      <w:pPr>
        <w:pStyle w:val="ListBullet"/>
        <w:spacing w:after="80"/>
      </w:pPr>
      <w:r>
        <w:rPr>
          <w:rFonts w:ascii="Noto Sans" w:hAnsi="Noto Sans" w:eastAsia="Noto Sans"/>
          <w:b w:val="0"/>
          <w:i w:val="0"/>
          <w:sz w:val="20"/>
        </w:rPr>
        <w:t>Proposed framework: a new diagnostic, term, model, or formalization introduced by the author.</w:t>
      </w:r>
    </w:p>
    <w:p>
      <w:pPr>
        <w:pStyle w:val="ListBullet"/>
        <w:spacing w:after="80"/>
      </w:pPr>
      <w:r>
        <w:rPr>
          <w:rFonts w:ascii="Noto Sans" w:hAnsi="Noto Sans" w:eastAsia="Noto Sans"/>
          <w:b w:val="0"/>
          <w:i w:val="0"/>
          <w:sz w:val="20"/>
        </w:rPr>
        <w:t>Illustrative: an example that makes the structure visible but should not carry the argument by itself.</w:t>
      </w: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Rule of thumb</w:t>
            </w:r>
          </w:p>
          <w:p>
            <w:pPr>
              <w:spacing w:after="0"/>
            </w:pPr>
            <w:r>
              <w:rPr>
                <w:rFonts w:ascii="Noto Sans" w:hAnsi="Noto Sans" w:eastAsia="Noto Sans"/>
                <w:b w:val="0"/>
                <w:i w:val="0"/>
                <w:color w:val="1B1F23"/>
                <w:sz w:val="19"/>
              </w:rPr>
              <w:t>If the article would collapse when one vivid anecdote is removed, the research base is probably too weak.</w:t>
            </w:r>
          </w:p>
        </w:tc>
      </w:tr>
    </w:tbl>
    <w:p>
      <w:pPr>
        <w:spacing w:after="40"/>
      </w:pPr>
    </w:p>
    <w:p>
      <w:r>
        <w:br w:type="page"/>
      </w:r>
    </w:p>
    <w:p>
      <w:pPr>
        <w:spacing w:after="80"/>
      </w:pPr>
      <w:r>
        <w:rPr>
          <w:rFonts w:ascii="Noto Sans" w:hAnsi="Noto Sans" w:eastAsia="Noto Sans"/>
          <w:b/>
          <w:i w:val="0"/>
          <w:color w:val="B6863B"/>
          <w:sz w:val="17"/>
        </w:rPr>
        <w:t>AUTOMATION</w:t>
      </w:r>
    </w:p>
    <w:p>
      <w:pPr>
        <w:spacing w:after="120"/>
      </w:pPr>
      <w:r>
        <w:rPr>
          <w:rFonts w:ascii="Noto Sans" w:hAnsi="Noto Sans" w:eastAsia="Noto Sans"/>
          <w:b/>
          <w:i w:val="0"/>
          <w:color w:val="18324A"/>
          <w:sz w:val="48"/>
        </w:rPr>
        <w:t>Master orchestrator prompt</w:t>
      </w:r>
    </w:p>
    <w:p>
      <w:pPr>
        <w:spacing w:after="240"/>
      </w:pPr>
      <w:r>
        <w:rPr>
          <w:rFonts w:ascii="Noto Sans" w:hAnsi="Noto Sans" w:eastAsia="Noto Sans"/>
          <w:b w:val="0"/>
          <w:i w:val="0"/>
          <w:color w:val="5D6873"/>
          <w:sz w:val="22"/>
        </w:rPr>
        <w:t>Use this when you want one agent to run the full workflow sequentially without collapsing the stages.</w:t>
      </w:r>
    </w:p>
    <w:p>
      <w:pPr>
        <w:spacing w:before="60" w:after="160"/>
        <w:pBdr>
          <w:bottom w:val="single" w:sz="8" w:space="1" w:color="B6863B"/>
        </w:pBdr>
      </w:pP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5"/>
              </w:rPr>
              <w:t>You are the orchestrator for a governed Signal-to-Source article pipeline.</w:t>
              <w:br/>
              <w:br/>
              <w:t>Your job is to move a live idea through eight bounded stages:</w:t>
              <w:br/>
              <w:t>1. Signal Miner</w:t>
              <w:br/>
              <w:t>2. Thesis Architect</w:t>
              <w:br/>
              <w:t>3. Research Director</w:t>
              <w:br/>
              <w:t>4. Evidence Auditor</w:t>
              <w:br/>
              <w:t>5. Theory Refiner</w:t>
              <w:br/>
              <w:t>6. Article Builder</w:t>
              <w:br/>
              <w:t>7. Publication Architect</w:t>
              <w:br/>
              <w:t>8. Distribution Agent</w:t>
              <w:br/>
              <w:br/>
              <w:t>Operating rules:</w:t>
              <w:br/>
              <w:t>- Never jump directly from raw signal to final article when factual substantiation is required.</w:t>
              <w:br/>
              <w:t>- Preserve uncertainty and disagreements from one stage to the next.</w:t>
              <w:br/>
              <w:t>- Separate observation, inference, established evidence, contested interpretation, synthesis, and proposed framework terms.</w:t>
              <w:br/>
              <w:t>- Research must include a disconfirmation path, strong counterarguments, and legitimate exceptions.</w:t>
              <w:br/>
              <w:t>- A research report is not automatically authoritative; audit source quality and claim fit before theory refinement.</w:t>
              <w:br/>
              <w:t>- Let evidence change the theory. State explicitly what changed.</w:t>
              <w:br/>
              <w:t>- During drafting, use cross-domain examples to show structural recurrence without implying false equivalence.</w:t>
              <w:br/>
              <w:t>- During publication, inspect the existing site architecture before deciding placement.</w:t>
              <w:br/>
              <w:t>- During distribution, never make a stronger claim than the canonical article.</w:t>
              <w:br/>
              <w:t>- At the end of every stage, output: STATUS, ARTIFACT, UNCERTAINTIES, GATE CHECK, NEXT AUTHORIZED STAGE.</w:t>
              <w:br/>
              <w:t>- If a gate fails, stop and repair that stage instead of advancing.</w:t>
              <w:br/>
              <w:br/>
              <w:t>Start with the material I provide and execute only Stage 1 unless I explicitly authorize a full run.</w:t>
            </w:r>
          </w:p>
        </w:tc>
      </w:tr>
    </w:tbl>
    <w:p>
      <w:pPr>
        <w:spacing w:after="20"/>
      </w:pPr>
    </w:p>
    <w:p>
      <w:pPr>
        <w:spacing w:before="80" w:after="60"/>
      </w:pPr>
      <w:r>
        <w:rPr>
          <w:rFonts w:ascii="Noto Sans" w:hAnsi="Noto Sans" w:eastAsia="Noto Sans"/>
          <w:b/>
          <w:i w:val="0"/>
          <w:color w:val="315A78"/>
          <w:sz w:val="16"/>
        </w:rPr>
        <w:t>SUGGESTED MACHINE-READABLE STAGE ENVELOPE</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Liberation Mono" w:hAnsi="Liberation Mono" w:eastAsia="Liberation Mono"/>
                <w:color w:val="1B1F23"/>
                <w:sz w:val="15"/>
              </w:rPr>
              <w:t>STATUS: pass | revise | blocked</w:t>
              <w:br/>
              <w:t>STAGE: 1-8</w:t>
              <w:br/>
              <w:t>ARTIFACT: &lt;stage output&gt;</w:t>
              <w:br/>
              <w:t>CLAIM_CLASSES: [established, contested, synthesis, proposed, illustrative]</w:t>
              <w:br/>
              <w:t>UNCERTAINTIES: [...]</w:t>
              <w:br/>
              <w:t>GATE_CHECK: &lt;why it passes or fails&gt;</w:t>
              <w:br/>
              <w:t>NEXT_AUTHORIZED_STAGE: &lt;stage number or none&gt;</w:t>
            </w:r>
          </w:p>
        </w:tc>
      </w:tr>
    </w:tbl>
    <w:p>
      <w:pPr>
        <w:spacing w:after="20"/>
      </w:pPr>
    </w:p>
    <w:p>
      <w:r>
        <w:br w:type="page"/>
      </w:r>
    </w:p>
    <w:p>
      <w:pPr>
        <w:spacing w:after="80"/>
      </w:pPr>
      <w:r>
        <w:rPr>
          <w:rFonts w:ascii="Noto Sans" w:hAnsi="Noto Sans" w:eastAsia="Noto Sans"/>
          <w:b/>
          <w:i w:val="0"/>
          <w:color w:val="B6863B"/>
          <w:sz w:val="17"/>
        </w:rPr>
        <w:t>RUN SHEET</w:t>
      </w:r>
    </w:p>
    <w:p>
      <w:pPr>
        <w:spacing w:after="120"/>
      </w:pPr>
      <w:r>
        <w:rPr>
          <w:rFonts w:ascii="Noto Sans" w:hAnsi="Noto Sans" w:eastAsia="Noto Sans"/>
          <w:b/>
          <w:i w:val="0"/>
          <w:color w:val="18324A"/>
          <w:sz w:val="48"/>
        </w:rPr>
        <w:t>One-page operating checklist</w:t>
      </w:r>
    </w:p>
    <w:p>
      <w:pPr>
        <w:spacing w:after="240"/>
      </w:pPr>
      <w:r>
        <w:rPr>
          <w:rFonts w:ascii="Noto Sans" w:hAnsi="Noto Sans" w:eastAsia="Noto Sans"/>
          <w:b w:val="0"/>
          <w:i w:val="0"/>
          <w:color w:val="5D6873"/>
          <w:sz w:val="22"/>
        </w:rPr>
        <w:t>Print this page or keep it beside the agent run.</w:t>
      </w:r>
    </w:p>
    <w:p>
      <w:pPr>
        <w:spacing w:before="60" w:after="160"/>
        <w:pBdr>
          <w:bottom w:val="single" w:sz="8" w:space="1" w:color="B6863B"/>
        </w:pBdr>
      </w:pPr>
    </w:p>
    <w:tbl>
      <w:tblPr>
        <w:tblW w:type="auto" w:w="0"/>
        <w:jc w:val="center"/>
        <w:tblLook w:firstColumn="1" w:firstRow="1" w:lastColumn="0" w:lastRow="0" w:noHBand="0" w:noVBand="1" w:val="04A0"/>
      </w:tblPr>
      <w:tblGrid>
        <w:gridCol w:w="3360"/>
        <w:gridCol w:w="3360"/>
        <w:gridCol w:w="3360"/>
      </w:tblGrid>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1. Capture</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Preserve the raw signal and enough context to reconstruct what happened.</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2. Distill</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Extract the portable pattern; separate observation from inference.</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3. Frame</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Define a falsifiable thesis, counter-thesis, terms, and boundaries.</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4. Specify</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Write the deep-research specification before drafting prose.</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5. Research</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Gather strong sources, positive/negative cases, exceptions, and counterarguments.</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6. Audit</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Check source quality, quote fit, analogies, and unsupported claims.</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7. Update</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State exactly how the evidence changed the theory.</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8. Draft</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Write from the refined theory, not the original intuition.</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9. Bound</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Label original terminology and keep examples inside evidentiary limits.</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10. Place</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Use the site’s existing publication boundary and information architecture.</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11. Publish</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Canonical page, metadata, index, sitemap/discovery, final QA.</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12. Roll out</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Create platform-native posts inside the article’s claim boundary.</w:t>
            </w:r>
          </w:p>
        </w:tc>
      </w:tr>
      <w:tr>
        <w:tc>
          <w:tcPr>
            <w:tcW w:type="dxa" w:w="576"/>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5"/>
              </w:rPr>
              <w:t>□</w:t>
            </w:r>
          </w:p>
        </w:tc>
        <w:tc>
          <w:tcPr>
            <w:tcW w:type="dxa" w:w="1728"/>
            <w:vAlign w:val="top"/>
            <w:shd w:fill="EEF3F7"/>
            <w:tcBorders>
              <w:top w:val="single" w:sz="5" w:color="CBD5DF"/>
              <w:left w:val="single" w:sz="5" w:color="CBD5DF"/>
              <w:bottom w:val="single" w:sz="5" w:color="CBD5DF"/>
              <w:right w:val="single" w:sz="5" w:color="CBD5DF"/>
            </w:tcBorders>
          </w:tcPr>
          <w:p>
            <w:pPr>
              <w:spacing w:after="0"/>
            </w:pPr>
            <w:r>
              <w:rPr>
                <w:rFonts w:ascii="Noto Sans" w:hAnsi="Noto Sans" w:eastAsia="Noto Sans"/>
                <w:b/>
                <w:i w:val="0"/>
                <w:color w:val="18324A"/>
                <w:sz w:val="16"/>
              </w:rPr>
              <w:t>13. Archive</w:t>
            </w:r>
          </w:p>
        </w:tc>
        <w:tc>
          <w:tcPr>
            <w:tcW w:type="dxa" w:w="6984"/>
            <w:vAlign w:val="top"/>
            <w:shd w:fill="F7F9FB"/>
            <w:tcBorders>
              <w:top w:val="single" w:sz="5" w:color="CBD5DF"/>
              <w:left w:val="single" w:sz="5" w:color="CBD5DF"/>
              <w:bottom w:val="single" w:sz="5" w:color="CBD5DF"/>
              <w:right w:val="single" w:sz="5" w:color="CBD5DF"/>
            </w:tcBorders>
          </w:tcPr>
          <w:p>
            <w:pPr>
              <w:spacing w:after="0"/>
            </w:pPr>
            <w:r>
              <w:rPr>
                <w:rFonts w:ascii="Noto Sans" w:hAnsi="Noto Sans" w:eastAsia="Noto Sans"/>
                <w:b w:val="0"/>
                <w:i w:val="0"/>
                <w:color w:val="1B1F23"/>
                <w:sz w:val="15"/>
              </w:rPr>
              <w:t>Store the full artifact chain for reuse and provenance.</w:t>
            </w:r>
          </w:p>
        </w:tc>
      </w:tr>
    </w:tbl>
    <w:p>
      <w:r>
        <w:br w:type="page"/>
      </w:r>
    </w:p>
    <w:p>
      <w:pPr>
        <w:spacing w:after="80"/>
      </w:pPr>
      <w:r>
        <w:rPr>
          <w:rFonts w:ascii="Noto Sans" w:hAnsi="Noto Sans" w:eastAsia="Noto Sans"/>
          <w:b/>
          <w:i w:val="0"/>
          <w:color w:val="B6863B"/>
          <w:sz w:val="17"/>
        </w:rPr>
        <w:t>WORKED EXAMPLE</w:t>
      </w:r>
    </w:p>
    <w:p>
      <w:pPr>
        <w:spacing w:after="120"/>
      </w:pPr>
      <w:r>
        <w:rPr>
          <w:rFonts w:ascii="Noto Sans" w:hAnsi="Noto Sans" w:eastAsia="Noto Sans"/>
          <w:b/>
          <w:i w:val="0"/>
          <w:color w:val="18324A"/>
          <w:sz w:val="48"/>
        </w:rPr>
        <w:t>How one conversation becomes a defensible article</w:t>
      </w:r>
    </w:p>
    <w:p>
      <w:pPr>
        <w:spacing w:after="240"/>
      </w:pPr>
      <w:r>
        <w:rPr>
          <w:rFonts w:ascii="Noto Sans" w:hAnsi="Noto Sans" w:eastAsia="Noto Sans"/>
          <w:b w:val="0"/>
          <w:i w:val="0"/>
          <w:color w:val="5D6873"/>
          <w:sz w:val="22"/>
        </w:rPr>
        <w:t>The point is the transformation chain, not the topic itself.</w:t>
      </w:r>
    </w:p>
    <w:p>
      <w:pPr>
        <w:spacing w:before="60" w:after="160"/>
        <w:pBdr>
          <w:bottom w:val="single" w:sz="8" w:space="1" w:color="B6863B"/>
        </w:pBdr>
      </w:pPr>
    </w:p>
    <w:p>
      <w:pPr>
        <w:spacing w:after="140" w:line="269" w:lineRule="auto"/>
      </w:pPr>
      <w:r>
        <w:rPr>
          <w:rFonts w:ascii="Noto Sans" w:hAnsi="Noto Sans" w:eastAsia="Noto Sans"/>
          <w:b w:val="0"/>
          <w:i w:val="0"/>
          <w:color w:val="1B1F23"/>
          <w:sz w:val="20"/>
        </w:rPr>
        <w:t>A live discussion begins with a practical observation from someone doing organizing work: the organizer should create conditions in which workers can organize themselves rather than become the permanent authoritative actor.</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Noto Sans" w:hAnsi="Noto Sans" w:eastAsia="Noto Sans"/>
                <w:b/>
                <w:i w:val="0"/>
                <w:color w:val="315A78"/>
                <w:sz w:val="16"/>
              </w:rPr>
              <w:t>INITIAL ABSTRACTION</w:t>
              <w:br/>
            </w:r>
            <w:r>
              <w:rPr>
                <w:rFonts w:ascii="Liberation Mono" w:hAnsi="Liberation Mono" w:eastAsia="Liberation Mono"/>
                <w:color w:val="1B1F23"/>
                <w:sz w:val="17"/>
              </w:rPr>
              <w:t>Worker₀ → resources / knowledge / coordination → Worker₁</w:t>
            </w:r>
          </w:p>
        </w:tc>
      </w:tr>
    </w:tbl>
    <w:p>
      <w:pPr>
        <w:spacing w:after="20"/>
      </w:pPr>
    </w:p>
    <w:p>
      <w:pPr>
        <w:spacing w:after="140" w:line="269" w:lineRule="auto"/>
      </w:pPr>
      <w:r>
        <w:rPr>
          <w:rFonts w:ascii="Noto Sans" w:hAnsi="Noto Sans" w:eastAsia="Noto Sans"/>
          <w:b w:val="0"/>
          <w:i w:val="0"/>
          <w:color w:val="1B1F23"/>
          <w:sz w:val="20"/>
        </w:rPr>
        <w:t>The first interpretation is attractive but incomplete: “good mediation increases agency.” Instead of publishing that line immediately, the workflow asks what would have to be true for it to survive medicine, education, disability rights, public administration, organizational power, and legitimate emergency intervention.</w:t>
      </w:r>
    </w:p>
    <w:p>
      <w:pPr>
        <w:spacing w:after="140" w:line="269" w:lineRule="auto"/>
      </w:pPr>
      <w:r>
        <w:rPr>
          <w:rFonts w:ascii="Noto Sans" w:hAnsi="Noto Sans" w:eastAsia="Noto Sans"/>
          <w:b w:val="0"/>
          <w:i w:val="0"/>
          <w:color w:val="1B1F23"/>
          <w:sz w:val="20"/>
        </w:rPr>
        <w:t>Deep research then introduces distinctions the initial model lacked. Capability can increase even when a transformation is unauthorized. Expertise about means does not automatically confer authority over ends. Some mediation is permanently useful, so “the mediator should disappear” is too strong.</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Noto Sans" w:hAnsi="Noto Sans" w:eastAsia="Noto Sans"/>
                <w:b/>
                <w:i w:val="0"/>
                <w:color w:val="315A78"/>
                <w:sz w:val="16"/>
              </w:rPr>
              <w:t>REFINED DISTINCTION</w:t>
              <w:br/>
            </w:r>
            <w:r>
              <w:rPr>
                <w:rFonts w:ascii="Liberation Mono" w:hAnsi="Liberation Mono" w:eastAsia="Liberation Mono"/>
                <w:color w:val="1B1F23"/>
                <w:sz w:val="17"/>
              </w:rPr>
              <w:t>Knowledge(Mediator) &gt; Knowledge(Principal)</w:t>
              <w:br/>
              <w:t>DOES NOT IMPLY</w:t>
              <w:br/>
              <w:t>Authority(Mediator) &gt; Authority(Principal)</w:t>
            </w:r>
          </w:p>
        </w:tc>
      </w:tr>
    </w:tbl>
    <w:p>
      <w:pPr>
        <w:spacing w:after="20"/>
      </w:pPr>
    </w:p>
    <w:p>
      <w:pPr>
        <w:spacing w:after="140" w:line="269" w:lineRule="auto"/>
      </w:pPr>
      <w:r>
        <w:rPr>
          <w:rFonts w:ascii="Noto Sans" w:hAnsi="Noto Sans" w:eastAsia="Noto Sans"/>
          <w:b w:val="0"/>
          <w:i w:val="0"/>
          <w:color w:val="1B1F23"/>
          <w:sz w:val="20"/>
        </w:rPr>
        <w:t>The theory is revised before drafting. The resulting article can now distinguish capability, authorization, goal ownership, necessity, proportionality, contestability, and dependency instead of treating “more agency” as the sole test.</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Result</w:t>
            </w:r>
          </w:p>
          <w:p>
            <w:pPr>
              <w:spacing w:after="0"/>
            </w:pPr>
            <w:r>
              <w:rPr>
                <w:rFonts w:ascii="Noto Sans" w:hAnsi="Noto Sans" w:eastAsia="Noto Sans"/>
                <w:b w:val="0"/>
                <w:i w:val="0"/>
                <w:color w:val="1B1F23"/>
                <w:sz w:val="19"/>
              </w:rPr>
              <w:t>The final public article is not the original comment expanded to 2,000 words. It is a researched transformation of the original intuition, with the changes made by evidence visible in the argument itself.</w:t>
            </w:r>
          </w:p>
        </w:tc>
      </w:tr>
    </w:tbl>
    <w:p>
      <w:pPr>
        <w:spacing w:after="40"/>
      </w:pPr>
    </w:p>
    <w:p>
      <w:pPr>
        <w:spacing w:after="140" w:line="269" w:lineRule="auto"/>
      </w:pPr>
      <w:r>
        <w:rPr>
          <w:rFonts w:ascii="Noto Sans" w:hAnsi="Noto Sans" w:eastAsia="Noto Sans"/>
          <w:b w:val="0"/>
          <w:i w:val="0"/>
          <w:color w:val="1B1F23"/>
          <w:sz w:val="20"/>
        </w:rPr>
        <w:t>Worked example: brendonrcoleman.com/articles/when-help-becomes-control/</w:t>
      </w:r>
    </w:p>
    <w:p>
      <w:r>
        <w:br w:type="page"/>
      </w:r>
    </w:p>
    <w:p>
      <w:pPr>
        <w:spacing w:after="80"/>
      </w:pPr>
      <w:r>
        <w:rPr>
          <w:rFonts w:ascii="Noto Sans" w:hAnsi="Noto Sans" w:eastAsia="Noto Sans"/>
          <w:b/>
          <w:i w:val="0"/>
          <w:color w:val="B6863B"/>
          <w:sz w:val="17"/>
        </w:rPr>
        <w:t>PACKAGING</w:t>
      </w:r>
    </w:p>
    <w:p>
      <w:pPr>
        <w:spacing w:after="120"/>
      </w:pPr>
      <w:r>
        <w:rPr>
          <w:rFonts w:ascii="Noto Sans" w:hAnsi="Noto Sans" w:eastAsia="Noto Sans"/>
          <w:b/>
          <w:i w:val="0"/>
          <w:color w:val="18324A"/>
          <w:sz w:val="48"/>
        </w:rPr>
        <w:t>How to turn this into an agent product</w:t>
      </w:r>
    </w:p>
    <w:p>
      <w:pPr>
        <w:spacing w:after="240"/>
      </w:pPr>
      <w:r>
        <w:rPr>
          <w:rFonts w:ascii="Noto Sans" w:hAnsi="Noto Sans" w:eastAsia="Noto Sans"/>
          <w:b w:val="0"/>
          <w:i w:val="0"/>
          <w:color w:val="5D6873"/>
          <w:sz w:val="22"/>
        </w:rPr>
        <w:t>The workflow is useful as a free guide, a reusable prompt pack, or the operating spine of a small research agent.</w:t>
      </w:r>
    </w:p>
    <w:p>
      <w:pPr>
        <w:spacing w:before="60" w:after="160"/>
        <w:pBdr>
          <w:bottom w:val="single" w:sz="8" w:space="1" w:color="B6863B"/>
        </w:pBdr>
      </w:pPr>
    </w:p>
    <w:p>
      <w:pPr>
        <w:spacing w:before="80" w:after="60"/>
      </w:pPr>
      <w:r>
        <w:rPr>
          <w:rFonts w:ascii="Noto Sans" w:hAnsi="Noto Sans" w:eastAsia="Noto Sans"/>
          <w:b/>
          <w:i w:val="0"/>
          <w:color w:val="315A78"/>
          <w:sz w:val="16"/>
        </w:rPr>
        <w:t>THREE PACKAGING LEVELS</w:t>
      </w: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Level 1 — PDF playbook</w:t>
            </w:r>
          </w:p>
          <w:p>
            <w:pPr>
              <w:spacing w:after="0"/>
            </w:pPr>
            <w:r>
              <w:rPr>
                <w:rFonts w:ascii="Noto Sans" w:hAnsi="Noto Sans" w:eastAsia="Noto Sans"/>
                <w:b w:val="0"/>
                <w:i w:val="0"/>
                <w:color w:val="1B1F23"/>
                <w:sz w:val="19"/>
              </w:rPr>
              <w:t>Give readers the workflow, gates, stage prompts, and run sheet. They execute the stages manually in their AI tool of choice.</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Level 2 — Prompt pack</w:t>
            </w:r>
          </w:p>
          <w:p>
            <w:pPr>
              <w:spacing w:after="0"/>
            </w:pPr>
            <w:r>
              <w:rPr>
                <w:rFonts w:ascii="Noto Sans" w:hAnsi="Noto Sans" w:eastAsia="Noto Sans"/>
                <w:b w:val="0"/>
                <w:i w:val="0"/>
                <w:color w:val="1B1F23"/>
                <w:sz w:val="19"/>
              </w:rPr>
              <w:t>Provide one master orchestrator prompt plus eight stage prompts as copy-paste files. Add example input/output envelopes.</w:t>
            </w:r>
          </w:p>
        </w:tc>
      </w:tr>
    </w:tbl>
    <w:p>
      <w:pPr>
        <w:spacing w:after="40"/>
      </w:pPr>
    </w:p>
    <w:tbl>
      <w:tblPr>
        <w:tblW w:type="auto" w:w="0"/>
        <w:jc w:val="center"/>
        <w:tblLayout w:type="fixed"/>
        <w:tblLook w:firstColumn="1" w:firstRow="1" w:lastColumn="0" w:lastRow="0" w:noHBand="0" w:noVBand="1" w:val="04A0"/>
      </w:tblPr>
      <w:tblGrid>
        <w:gridCol w:w="10080"/>
      </w:tblGrid>
      <w:tr>
        <w:tc>
          <w:tcPr>
            <w:tcW w:type="dxa" w:w="9360"/>
            <w:vAlign w:val="top"/>
            <w:shd w:fill="F7F9FB"/>
            <w:tcBorders>
              <w:top w:val="single" w:sz="10" w:color="315A78"/>
              <w:left w:val="single" w:sz="10" w:color="315A78"/>
              <w:bottom w:val="single" w:sz="10" w:color="315A78"/>
              <w:right w:val="single" w:sz="10" w:color="315A78"/>
            </w:tcBorders>
          </w:tcPr>
          <w:p>
            <w:pPr>
              <w:spacing w:after="60"/>
            </w:pPr>
            <w:r>
              <w:rPr>
                <w:rFonts w:ascii="Noto Sans" w:hAnsi="Noto Sans" w:eastAsia="Noto Sans"/>
                <w:b/>
                <w:i w:val="0"/>
                <w:color w:val="18324A"/>
                <w:sz w:val="21"/>
              </w:rPr>
              <w:t>Level 3 — Stateful agent</w:t>
            </w:r>
          </w:p>
          <w:p>
            <w:pPr>
              <w:spacing w:after="0"/>
            </w:pPr>
            <w:r>
              <w:rPr>
                <w:rFonts w:ascii="Noto Sans" w:hAnsi="Noto Sans" w:eastAsia="Noto Sans"/>
                <w:b w:val="0"/>
                <w:i w:val="0"/>
                <w:color w:val="1B1F23"/>
                <w:sz w:val="19"/>
              </w:rPr>
              <w:t>Implement stage state, artifacts, gates, source records, and explicit next-stage authorization in software. The agent maintains the evidence chain automatically.</w:t>
            </w:r>
          </w:p>
        </w:tc>
      </w:tr>
    </w:tbl>
    <w:p>
      <w:pPr>
        <w:spacing w:after="40"/>
      </w:pPr>
    </w:p>
    <w:p>
      <w:pPr>
        <w:spacing w:before="80" w:after="60"/>
      </w:pPr>
      <w:r>
        <w:rPr>
          <w:rFonts w:ascii="Noto Sans" w:hAnsi="Noto Sans" w:eastAsia="Noto Sans"/>
          <w:b/>
          <w:i w:val="0"/>
          <w:color w:val="315A78"/>
          <w:sz w:val="16"/>
        </w:rPr>
        <w:t>MINIMUM STATE TO PRESERVE BETWEEN STAGES</w:t>
      </w:r>
    </w:p>
    <w:p>
      <w:pPr>
        <w:pStyle w:val="ListBullet"/>
        <w:spacing w:after="80"/>
      </w:pPr>
      <w:r>
        <w:rPr>
          <w:rFonts w:ascii="Noto Sans" w:hAnsi="Noto Sans" w:eastAsia="Noto Sans"/>
          <w:b w:val="0"/>
          <w:i w:val="0"/>
          <w:sz w:val="20"/>
        </w:rPr>
        <w:t>Raw source signal and context</w:t>
      </w:r>
    </w:p>
    <w:p>
      <w:pPr>
        <w:pStyle w:val="ListBullet"/>
        <w:spacing w:after="80"/>
      </w:pPr>
      <w:r>
        <w:rPr>
          <w:rFonts w:ascii="Noto Sans" w:hAnsi="Noto Sans" w:eastAsia="Noto Sans"/>
          <w:b w:val="0"/>
          <w:i w:val="0"/>
          <w:sz w:val="20"/>
        </w:rPr>
        <w:t>Current thesis version</w:t>
      </w:r>
    </w:p>
    <w:p>
      <w:pPr>
        <w:pStyle w:val="ListBullet"/>
        <w:spacing w:after="80"/>
      </w:pPr>
      <w:r>
        <w:rPr>
          <w:rFonts w:ascii="Noto Sans" w:hAnsi="Noto Sans" w:eastAsia="Noto Sans"/>
          <w:b w:val="0"/>
          <w:i w:val="0"/>
          <w:sz w:val="20"/>
        </w:rPr>
        <w:t>Research specification</w:t>
      </w:r>
    </w:p>
    <w:p>
      <w:pPr>
        <w:pStyle w:val="ListBullet"/>
        <w:spacing w:after="80"/>
      </w:pPr>
      <w:r>
        <w:rPr>
          <w:rFonts w:ascii="Noto Sans" w:hAnsi="Noto Sans" w:eastAsia="Noto Sans"/>
          <w:b w:val="0"/>
          <w:i w:val="0"/>
          <w:sz w:val="20"/>
        </w:rPr>
        <w:t>Source/citation ledger</w:t>
      </w:r>
    </w:p>
    <w:p>
      <w:pPr>
        <w:pStyle w:val="ListBullet"/>
        <w:spacing w:after="80"/>
      </w:pPr>
      <w:r>
        <w:rPr>
          <w:rFonts w:ascii="Noto Sans" w:hAnsi="Noto Sans" w:eastAsia="Noto Sans"/>
          <w:b w:val="0"/>
          <w:i w:val="0"/>
          <w:sz w:val="20"/>
        </w:rPr>
        <w:t>Evidence audit memo</w:t>
      </w:r>
    </w:p>
    <w:p>
      <w:pPr>
        <w:pStyle w:val="ListBullet"/>
        <w:spacing w:after="80"/>
      </w:pPr>
      <w:r>
        <w:rPr>
          <w:rFonts w:ascii="Noto Sans" w:hAnsi="Noto Sans" w:eastAsia="Noto Sans"/>
          <w:b w:val="0"/>
          <w:i w:val="0"/>
          <w:sz w:val="20"/>
        </w:rPr>
        <w:t>Theory change log</w:t>
      </w:r>
    </w:p>
    <w:p>
      <w:pPr>
        <w:pStyle w:val="ListBullet"/>
        <w:spacing w:after="80"/>
      </w:pPr>
      <w:r>
        <w:rPr>
          <w:rFonts w:ascii="Noto Sans" w:hAnsi="Noto Sans" w:eastAsia="Noto Sans"/>
          <w:b w:val="0"/>
          <w:i w:val="0"/>
          <w:sz w:val="20"/>
        </w:rPr>
        <w:t>Canonical article draft/version</w:t>
      </w:r>
    </w:p>
    <w:p>
      <w:pPr>
        <w:pStyle w:val="ListBullet"/>
        <w:spacing w:after="80"/>
      </w:pPr>
      <w:r>
        <w:rPr>
          <w:rFonts w:ascii="Noto Sans" w:hAnsi="Noto Sans" w:eastAsia="Noto Sans"/>
          <w:b w:val="0"/>
          <w:i w:val="0"/>
          <w:sz w:val="20"/>
        </w:rPr>
        <w:t>Publication URL and metadata</w:t>
      </w:r>
    </w:p>
    <w:p>
      <w:pPr>
        <w:pStyle w:val="ListBullet"/>
        <w:spacing w:after="80"/>
      </w:pPr>
      <w:r>
        <w:rPr>
          <w:rFonts w:ascii="Noto Sans" w:hAnsi="Noto Sans" w:eastAsia="Noto Sans"/>
          <w:b w:val="0"/>
          <w:i w:val="0"/>
          <w:sz w:val="20"/>
        </w:rPr>
        <w:t>Distribution copy and platform status</w:t>
      </w:r>
    </w:p>
    <w:tbl>
      <w:tblPr>
        <w:tblW w:type="auto" w:w="0"/>
        <w:jc w:val="center"/>
        <w:tblLayout w:type="fixed"/>
        <w:tblLook w:firstColumn="1" w:firstRow="1" w:lastColumn="0" w:lastRow="0" w:noHBand="0" w:noVBand="1" w:val="04A0"/>
      </w:tblPr>
      <w:tblGrid>
        <w:gridCol w:w="10080"/>
      </w:tblGrid>
      <w:tr>
        <w:tc>
          <w:tcPr>
            <w:tcW w:type="dxa" w:w="9360"/>
            <w:vAlign w:val="top"/>
            <w:shd w:fill="F7F1E7"/>
            <w:tcBorders>
              <w:top w:val="single" w:sz="10" w:color="B6863B"/>
              <w:left w:val="single" w:sz="10" w:color="B6863B"/>
              <w:bottom w:val="single" w:sz="10" w:color="B6863B"/>
              <w:right w:val="single" w:sz="10" w:color="B6863B"/>
            </w:tcBorders>
          </w:tcPr>
          <w:p>
            <w:pPr>
              <w:spacing w:after="60"/>
            </w:pPr>
            <w:r>
              <w:rPr>
                <w:rFonts w:ascii="Noto Sans" w:hAnsi="Noto Sans" w:eastAsia="Noto Sans"/>
                <w:b/>
                <w:i w:val="0"/>
                <w:color w:val="18324A"/>
                <w:sz w:val="21"/>
              </w:rPr>
              <w:t>Product boundary</w:t>
            </w:r>
          </w:p>
          <w:p>
            <w:pPr>
              <w:spacing w:after="0"/>
            </w:pPr>
            <w:r>
              <w:rPr>
                <w:rFonts w:ascii="Noto Sans" w:hAnsi="Noto Sans" w:eastAsia="Noto Sans"/>
                <w:b w:val="0"/>
                <w:i w:val="0"/>
                <w:color w:val="1B1F23"/>
                <w:sz w:val="19"/>
              </w:rPr>
              <w:t>This workflow does not guarantee factual accuracy simply because an agent followed the stages. It creates places where source quality, uncertainty, counterevidence, and human editorial judgment can be inspected before publication.</w:t>
            </w:r>
          </w:p>
        </w:tc>
      </w:tr>
    </w:tbl>
    <w:p>
      <w:pPr>
        <w:spacing w:after="40"/>
      </w:pPr>
    </w:p>
    <w:p>
      <w:r>
        <w:br w:type="page"/>
      </w:r>
    </w:p>
    <w:p>
      <w:pPr>
        <w:spacing w:after="80"/>
      </w:pPr>
      <w:r>
        <w:rPr>
          <w:rFonts w:ascii="Noto Sans" w:hAnsi="Noto Sans" w:eastAsia="Noto Sans"/>
          <w:b/>
          <w:i w:val="0"/>
          <w:color w:val="B6863B"/>
          <w:sz w:val="17"/>
        </w:rPr>
        <w:t>PRINCIPLE</w:t>
      </w:r>
    </w:p>
    <w:p>
      <w:pPr>
        <w:spacing w:after="120"/>
      </w:pPr>
      <w:r>
        <w:rPr>
          <w:rFonts w:ascii="Noto Sans" w:hAnsi="Noto Sans" w:eastAsia="Noto Sans"/>
          <w:b/>
          <w:i w:val="0"/>
          <w:color w:val="18324A"/>
          <w:sz w:val="48"/>
        </w:rPr>
        <w:t>The workflow is itself a mediation system</w:t>
      </w:r>
    </w:p>
    <w:p>
      <w:pPr>
        <w:spacing w:after="240"/>
      </w:pPr>
      <w:r>
        <w:rPr>
          <w:rFonts w:ascii="Noto Sans" w:hAnsi="Noto Sans" w:eastAsia="Noto Sans"/>
          <w:b w:val="0"/>
          <w:i w:val="0"/>
          <w:color w:val="5D6873"/>
          <w:sz w:val="22"/>
        </w:rPr>
        <w:t>The agent should increase the author’s capacity without quietly becoming the author.</w:t>
      </w:r>
    </w:p>
    <w:p>
      <w:pPr>
        <w:spacing w:before="60" w:after="160"/>
        <w:pBdr>
          <w:bottom w:val="single" w:sz="8" w:space="1" w:color="B6863B"/>
        </w:pBdr>
      </w:pPr>
    </w:p>
    <w:p>
      <w:pPr>
        <w:pStyle w:val="PullQuote"/>
        <w:jc w:val="center"/>
      </w:pPr>
      <w:r>
        <w:rPr>
          <w:rFonts w:ascii="Noto Serif" w:hAnsi="Noto Serif" w:eastAsia="Noto Serif"/>
          <w:b w:val="0"/>
          <w:i/>
          <w:color w:val="18324A"/>
          <w:sz w:val="30"/>
        </w:rPr>
        <w:t>The best research agent does not replace authorship. It changes the conditions under which better authorship becomes possible.</w:t>
      </w:r>
    </w:p>
    <w:p>
      <w:pPr>
        <w:spacing w:after="140" w:line="269" w:lineRule="auto"/>
      </w:pPr>
      <w:r>
        <w:rPr>
          <w:rFonts w:ascii="Noto Sans" w:hAnsi="Noto Sans" w:eastAsia="Noto Sans"/>
          <w:b w:val="0"/>
          <w:i w:val="0"/>
          <w:color w:val="1B1F23"/>
          <w:sz w:val="20"/>
        </w:rPr>
        <w:t>That is why the process matters as much as the prompts. A capable model can research, synthesize, draft, publish, and distribute. The workflow keeps those capabilities from collapsing into one unreviewed act.</w:t>
      </w:r>
    </w:p>
    <w:p>
      <w:pPr>
        <w:spacing w:after="140" w:line="269" w:lineRule="auto"/>
      </w:pPr>
      <w:r>
        <w:rPr>
          <w:rFonts w:ascii="Noto Sans" w:hAnsi="Noto Sans" w:eastAsia="Noto Sans"/>
          <w:b w:val="0"/>
          <w:i w:val="0"/>
          <w:color w:val="1B1F23"/>
          <w:sz w:val="20"/>
        </w:rPr>
        <w:t>Signal-to-Source treats each transformation as its own state change. The agent can propose the next state, but the evidence and the stage gate determine whether the transition is legitimate.</w:t>
      </w:r>
    </w:p>
    <w:tbl>
      <w:tblPr>
        <w:tblW w:type="auto" w:w="0"/>
        <w:jc w:val="center"/>
        <w:tblLayout w:type="fixed"/>
        <w:tblLook w:firstColumn="1" w:firstRow="1" w:lastColumn="0" w:lastRow="0" w:noHBand="0" w:noVBand="1" w:val="04A0"/>
      </w:tblPr>
      <w:tblGrid>
        <w:gridCol w:w="10080"/>
      </w:tblGrid>
      <w:tr>
        <w:tc>
          <w:tcPr>
            <w:tcW w:type="dxa" w:w="9360"/>
            <w:shd w:fill="F3F5F7"/>
            <w:tcBorders>
              <w:top w:val="single" w:sz="6" w:color="CBD5DF"/>
              <w:left w:val="single" w:sz="6" w:color="CBD5DF"/>
              <w:bottom w:val="single" w:sz="6" w:color="CBD5DF"/>
              <w:right w:val="single" w:sz="6" w:color="CBD5DF"/>
            </w:tcBorders>
          </w:tcPr>
          <w:p>
            <w:pPr>
              <w:spacing w:after="0"/>
            </w:pPr>
            <w:r>
              <w:rPr>
                <w:rFonts w:ascii="Noto Sans" w:hAnsi="Noto Sans" w:eastAsia="Noto Sans"/>
                <w:b/>
                <w:i w:val="0"/>
                <w:color w:val="315A78"/>
                <w:sz w:val="16"/>
              </w:rPr>
              <w:t>CANONICAL CHAIN</w:t>
              <w:br/>
            </w:r>
            <w:r>
              <w:rPr>
                <w:rFonts w:ascii="Liberation Mono" w:hAnsi="Liberation Mono" w:eastAsia="Liberation Mono"/>
                <w:color w:val="1B1F23"/>
                <w:sz w:val="17"/>
              </w:rPr>
              <w:t>Signal → Thesis → Evidence → Refined Theory → Article → Canonical Publication → Distribution</w:t>
            </w:r>
          </w:p>
        </w:tc>
      </w:tr>
    </w:tbl>
    <w:p>
      <w:pPr>
        <w:spacing w:after="20"/>
      </w:pPr>
    </w:p>
    <w:p>
      <w:pPr>
        <w:spacing w:after="140" w:line="269" w:lineRule="auto"/>
      </w:pPr>
      <w:r>
        <w:rPr>
          <w:rFonts w:ascii="Noto Sans" w:hAnsi="Noto Sans" w:eastAsia="Noto Sans"/>
          <w:b w:val="0"/>
          <w:i w:val="0"/>
          <w:color w:val="1B1F23"/>
          <w:sz w:val="20"/>
        </w:rPr>
        <w:t>Used this way, the workflow becomes more than a writing template. It becomes a small governance architecture for turning live thought into public knowledge without losing provenance along the way.</w:t>
      </w:r>
    </w:p>
    <w:tbl>
      <w:tblPr>
        <w:tblW w:type="auto" w:w="0"/>
        <w:jc w:val="center"/>
        <w:tblLayout w:type="fixed"/>
        <w:tblLook w:firstColumn="1" w:firstRow="1" w:lastColumn="0" w:lastRow="0" w:noHBand="0" w:noVBand="1" w:val="04A0"/>
      </w:tblPr>
      <w:tblGrid>
        <w:gridCol w:w="10080"/>
      </w:tblGrid>
      <w:tr>
        <w:tc>
          <w:tcPr>
            <w:tcW w:type="dxa" w:w="9360"/>
            <w:vAlign w:val="top"/>
            <w:shd w:fill="EEF6F1"/>
            <w:tcBorders>
              <w:top w:val="single" w:sz="10" w:color="2E6F57"/>
              <w:left w:val="single" w:sz="10" w:color="2E6F57"/>
              <w:bottom w:val="single" w:sz="10" w:color="2E6F57"/>
              <w:right w:val="single" w:sz="10" w:color="2E6F57"/>
            </w:tcBorders>
          </w:tcPr>
          <w:p>
            <w:pPr>
              <w:spacing w:after="60"/>
            </w:pPr>
            <w:r>
              <w:rPr>
                <w:rFonts w:ascii="Noto Sans" w:hAnsi="Noto Sans" w:eastAsia="Noto Sans"/>
                <w:b/>
                <w:i w:val="0"/>
                <w:color w:val="18324A"/>
                <w:sz w:val="21"/>
              </w:rPr>
              <w:t>Takeaway</w:t>
            </w:r>
          </w:p>
          <w:p>
            <w:pPr>
              <w:spacing w:after="0"/>
            </w:pPr>
            <w:r>
              <w:rPr>
                <w:rFonts w:ascii="Noto Sans" w:hAnsi="Noto Sans" w:eastAsia="Noto Sans"/>
                <w:b w:val="0"/>
                <w:i w:val="0"/>
                <w:color w:val="1B1F23"/>
                <w:sz w:val="19"/>
              </w:rPr>
              <w:t>Capture the spark quickly. Generalize carefully. Research adversarially. Let evidence change the theory. Publish canonically. Distribute without overclaiming.</w:t>
            </w:r>
          </w:p>
        </w:tc>
      </w:tr>
    </w:tbl>
    <w:p>
      <w:pPr>
        <w:spacing w:after="40"/>
      </w:pP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eastAsia="Noto Sans"/>
        <w:b w:val="0"/>
        <w:i w:val="0"/>
        <w:color w:val="5D6873"/>
        <w:sz w:val="15"/>
      </w:rPr>
      <w:t>Brendon R. Coleman  •  Repeatable Agent Workflow</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Noto Sans" w:hAnsi="Noto Sans" w:eastAsia="Noto Sans"/>
        <w:b/>
        <w:i w:val="0"/>
        <w:color w:val="5D6873"/>
        <w:sz w:val="15"/>
      </w:rPr>
      <w:t>FROM SIGNAL TO 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Noto Sans" w:hAnsi="Noto San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w:hAnsi="Noto Sans"/>
      <w:b/>
      <w:bCs/>
      <w:color w:val="18324A"/>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w:hAnsi="Noto Sans"/>
      <w:b/>
      <w:bCs/>
      <w:color w:val="315A7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w:hAnsi="Noto San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w:hAnsi="Noto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Noto Sans" w:hAnsi="Noto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ans" w:hAnsi="Noto Sans"/>
    </w:rPr>
  </w:style>
  <w:style w:type="paragraph" w:styleId="ListBullet2">
    <w:name w:val="List Bullet 2"/>
    <w:basedOn w:val="Normal"/>
    <w:uiPriority w:val="99"/>
    <w:unhideWhenUsed/>
    <w:rsid w:val="00326F90"/>
    <w:pPr>
      <w:numPr>
        <w:numId w:val="2"/>
      </w:numPr>
      <w:contextualSpacing/>
    </w:pPr>
    <w:rPr>
      <w:rFonts w:ascii="Noto Sans" w:hAnsi="Noto Sans"/>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Sans" w:hAnsi="Noto Sans"/>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llQuote">
    <w:name w:val="Pull Quote"/>
    <w:pPr>
      <w:spacing w:before="200" w:after="200"/>
      <w:ind w:left="504" w:right="504"/>
    </w:pPr>
    <w:rPr>
      <w:rFonts w:ascii="Noto Serif" w:hAnsi="Noto Serif"/>
      <w:i/>
      <w:color w:val="18324A"/>
      <w:sz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