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Ἀλχημικὸν Ἀπόσπασμα</w:t>
      </w:r>
      <w:r>
        <w:br/>
      </w:r>
      <w:r>
        <w:rPr>
          <w:i/>
          <w:color w:val="666666"/>
          <w:sz w:val="40"/>
        </w:rPr>
        <w:t>Alchemical Fragment</w:t>
      </w:r>
    </w:p>
    <w:p>
      <w:pPr>
        <w:jc w:val="center"/>
      </w:pPr>
      <w:r>
        <w:rPr>
          <w:i/>
          <w:color w:val="666666"/>
          <w:sz w:val="28"/>
        </w:rPr>
        <w:t>by Alchemist I</w:t>
      </w:r>
    </w:p>
    <w:p/>
    <w:p>
      <w:r>
        <w:rPr>
          <w:rFonts w:ascii="Courier New" w:hAnsi="Courier New"/>
          <w:color w:val="555555"/>
          <w:sz w:val="20"/>
        </w:rPr>
        <w:t>[11t]</w:t>
      </w:r>
    </w:p>
    <w:p>
      <w:pPr>
        <w:jc w:val="center"/>
      </w:pPr>
      <w:r>
        <w:rPr>
          <w:rFonts w:ascii="Gentium Plus" w:hAnsi="Gentium Plus"/>
          <w:b/>
          <w:sz w:val="24"/>
        </w:rPr>
        <w:t>ΑΛΛΩΣ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Ἔνιοι δὲ τὰς σκώριας ἀπέσταζον ὡς ἐπὶ τῆς σαπωναρικῆς ἐργα‐ σίας, δεύτερον καὶ τρίτον ταύτας ἐν ἡμέρᾳ μιᾷ ὑπαλλάττεσθαι ὁμοειδέσι καὶ ὁμοχρώοις ἑνοῦντες ὕδασιν· ἀρκεῖσθαι γὰρ ἔφασκον τῇ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πρώτῃ ἐξαιθαλώσει.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