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Οἰκονομία τῆς ἀσβέστου (e cod. Venet. Marc. 299,</w:t>
      </w:r>
      <w:r>
        <w:br/>
      </w:r>
      <w:r>
        <w:rPr>
          <w:i/>
          <w:color w:val="666666"/>
          <w:sz w:val="40"/>
        </w:rPr>
        <w:t>Management of Lime</w:t>
      </w:r>
    </w:p>
    <w:p>
      <w:pPr>
        <w:jc w:val="center"/>
      </w:pPr>
      <w:r>
        <w:rPr>
          <w:i/>
          <w:color w:val="666666"/>
          <w:sz w:val="28"/>
        </w:rPr>
        <w:t>by Alchemist I</w:t>
      </w:r>
    </w:p>
    <w:p/>
    <w:p>
      <w:r>
        <w:rPr>
          <w:rFonts w:ascii="Courier New" w:hAnsi="Courier New"/>
          <w:color w:val="555555"/>
          <w:sz w:val="20"/>
        </w:rPr>
        <w:t>[8t]</w:t>
      </w:r>
    </w:p>
    <w:p>
      <w:pPr>
        <w:jc w:val="center"/>
      </w:pPr>
      <w:r>
        <w:rPr>
          <w:rFonts w:ascii="Gentium Plus" w:hAnsi="Gentium Plus"/>
          <w:b/>
          <w:sz w:val="24"/>
        </w:rPr>
        <w:t>ΑΛΛΗ ΟΙΚΟΝΟΜΙΑ ΤΗΣ ΑΣΒΕΣΤΟΥ</w:t>
      </w:r>
    </w:p>
    <w:p>
      <w:r>
        <w:rPr>
          <w:rFonts w:ascii="Courier New" w:hAnsi="Courier New"/>
          <w:color w:val="555555"/>
          <w:sz w:val="20"/>
        </w:rPr>
        <w:t>[9]</w:t>
      </w:r>
    </w:p>
    <w:p>
      <w:r>
        <w:rPr>
          <w:rFonts w:ascii="Gentium Plus" w:hAnsi="Gentium Plus"/>
          <w:sz w:val="24"/>
        </w:rPr>
        <w:t>Ἔνιοι δὲ ξανθὸν βαλόντες ὕδωρ ἐν ταῖς ἰώσεσιν ἢ λευκὸν κατὰ φύσιν</w:t>
      </w:r>
    </w:p>
    <w:p>
      <w:r>
        <w:rPr>
          <w:rFonts w:ascii="Courier New" w:hAnsi="Courier New"/>
          <w:color w:val="555555"/>
          <w:sz w:val="20"/>
        </w:rPr>
        <w:t>[10]</w:t>
      </w:r>
    </w:p>
    <w:p>
      <w:r>
        <w:rPr>
          <w:rFonts w:ascii="Gentium Plus" w:hAnsi="Gentium Plus"/>
          <w:sz w:val="24"/>
        </w:rPr>
        <w:t>ἅπαξ ἀνασπάσαντες ἠρκέσθησαν αἰθάλαις αἰθαλῶν, τὴν πρώτην καὶ τὴν δευτέραν μετὰ τὴν ἴωσιν κρίναντες. Ἔλεγεν γὰρ ὅτι οὐ τὸ πολ‐ λάκις ἀνάγεσθαι χαρίζεται τοῖς ὑγροῖς τὸν κάτοχον καὶ τὴν εἴσκρισιν, ἀλλ’ ἡ τῶν σωμάτων συμπλοκὴ, καὶ ἡ τῶν ὀργάνων ἰδιότης, καὶ ἡ διὰ</w:t>
      </w:r>
    </w:p>
    <w:p>
      <w:r>
        <w:rPr>
          <w:rFonts w:ascii="Courier New" w:hAnsi="Courier New"/>
          <w:color w:val="555555"/>
          <w:sz w:val="20"/>
        </w:rPr>
        <w:t>[2 . 281]</w:t>
      </w:r>
    </w:p>
    <w:p>
      <w:r>
        <w:rPr>
          <w:rFonts w:ascii="Gentium Plus" w:hAnsi="Gentium Plus"/>
          <w:sz w:val="24"/>
        </w:rPr>
        <w:t>Συμβαίνει δὲ τὸν ἰόχαλκον ταῖς πολλαῖς αἰθάλαις μὴ μόνον μελαίνεσθαι τῇ τῶν στερεῶν σωμάτων χροιᾷ βαπτόμενον, ἀλλ’ ἔσθ’ ὅτε καὶ δαπανᾶσθαι τελείως. Τοῦτο δὲ οἱ τελέσαντες παραχρῆμα ἑτέραις αἰθάλαις ὁμοχρώοις τῆς κινναβάρεως συνέμιξαν καὶ ἀπέθηκαν·</w:t>
      </w:r>
    </w:p>
    <w:p>
      <w:r>
        <w:rPr>
          <w:rFonts w:ascii="Courier New" w:hAnsi="Courier New"/>
          <w:color w:val="555555"/>
          <w:sz w:val="20"/>
        </w:rPr>
        <w:t>[5]</w:t>
      </w:r>
    </w:p>
    <w:p>
      <w:r>
        <w:rPr>
          <w:rFonts w:ascii="Gentium Plus" w:hAnsi="Gentium Plus"/>
          <w:sz w:val="24"/>
        </w:rPr>
        <w:t>ἡ αἰθάλη τῆς ὑδραργύρου αἰθάλῃ μιγεῖσα παραμονιμώτερον τηρεῖ τὸ</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