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Ἀνάξαρχος ὁ Ἀβδηρίτης</w:t>
      </w:r>
      <w:r>
        <w:br/>
      </w:r>
      <w:r>
        <w:rPr>
          <w:i/>
          <w:color w:val="666666"/>
          <w:sz w:val="28"/>
        </w:rPr>
        <w:t>by Anaxarchus Abdera</w:t>
      </w:r>
    </w:p>
    <w:p/>
    <w:p>
      <w:r>
        <w:rPr>
          <w:rFonts w:ascii="Courier New" w:hAnsi="Courier New"/>
          <w:color w:val="555555"/>
          <w:sz w:val="20"/>
        </w:rPr>
        <w:t>[tit]</w:t>
      </w:r>
    </w:p>
    <w:p>
      <w:r>
        <w:rPr>
          <w:rFonts w:ascii="Gentium Plus" w:hAnsi="Gentium Plus"/>
          <w:sz w:val="24"/>
        </w:rPr>
        <w:t>ΑΝΑΞΑΡΧΟΥ ΠΕΡΙ ΒΑΣΙΛΕΙΑΣ</w:t>
      </w:r>
    </w:p>
    <w:p>
      <w:r>
        <w:rPr>
          <w:rFonts w:ascii="Courier New" w:hAnsi="Courier New"/>
          <w:color w:val="555555"/>
          <w:sz w:val="20"/>
        </w:rPr>
        <w:t>[1]</w:t>
      </w:r>
    </w:p>
    <w:p>
      <w:r>
        <w:rPr>
          <w:rFonts w:ascii="Gentium Plus" w:hAnsi="Gentium Plus"/>
          <w:sz w:val="24"/>
        </w:rPr>
        <w:t>CLEM. Str. I 36 [II 23, 22 St.] εὖ γοῦν καὶ Ἀ. ὁ Εὐδαιμονικὸς ἐν τῶι Περὶ βασιλείας γράφει· ‘πολυμαθείη ... δεξιὸν ὄντα ... ὅρος. ὅσοι δὲ καὶ θύρηισιν ἀείδουσιν ἢ ἤν πηι πεπνυμένην ἀείδωσιν οὐ τιθέ‐ μενοι ἐν σοφίηι, γνώμην δ’ ἔχουσι μωρίησ‘. STOB. III (Flor.) 34, 19 H.</w:t>
      </w:r>
    </w:p>
    <w:p>
      <w:r>
        <w:rPr>
          <w:rFonts w:ascii="Courier New" w:hAnsi="Courier New"/>
          <w:color w:val="555555"/>
          <w:sz w:val="20"/>
        </w:rPr>
        <w:t>[5]</w:t>
      </w:r>
    </w:p>
    <w:p>
      <w:r>
        <w:rPr>
          <w:rFonts w:ascii="Gentium Plus" w:hAnsi="Gentium Plus"/>
          <w:sz w:val="24"/>
        </w:rPr>
        <w:t>Ἀναξάρχου· ‘πολυμαθίη ... δεξιὸν ἄνδρα ... ὅρος. οἱ δὲ ἔξω καιροῦ ῥῆσιν μουσικὴν πεπνυμένως ἀείσουσιν, οὐ παραδέχονται ἐν ἀργίηι γνώμην αἰτίην δ’ ἔχουσι μωρίασ‘. πολυμαθίη κάρτα μὲν ὠφελεῖ, κάρτα δὲ βλάπτει τὸν ἔχοντα· ὠφελεῖ μὲν τὸν δεξιὸν ἄνδρα, βλάπτει δὲ τὸν</w:t>
      </w:r>
    </w:p>
    <w:p>
      <w:r>
        <w:rPr>
          <w:rFonts w:ascii="Courier New" w:hAnsi="Courier New"/>
          <w:color w:val="555555"/>
          <w:sz w:val="20"/>
        </w:rPr>
        <w:t>[10]</w:t>
      </w:r>
    </w:p>
    <w:p>
      <w:r>
        <w:rPr>
          <w:rFonts w:ascii="Gentium Plus" w:hAnsi="Gentium Plus"/>
          <w:sz w:val="24"/>
        </w:rPr>
        <w:t>ῥηϊδίως φωνεῦντα πᾶν ἔπος κἠν παντὶ δήμωι. χρὴ δὲ καιροῦ μέτρα εἰδέναι· σοφίης γὰρ οὗτος ὅρος. οἳ δὲ ἔξω καιροῦ ῥῆσιν ἀείδουσιν, κἢν πεπνυμένην ἀείδωσιν, οὐ τιθέμενοι ἐν σοφίηι γνώμην αἰτίην ἔχουσι μωρίης.</w:t>
      </w:r>
    </w:p>
    <w:p>
      <w:r>
        <w:rPr>
          <w:rFonts w:ascii="Courier New" w:hAnsi="Courier New"/>
          <w:color w:val="555555"/>
          <w:sz w:val="20"/>
        </w:rPr>
        <w:t>[2]</w:t>
      </w:r>
    </w:p>
    <w:p>
      <w:r>
        <w:rPr>
          <w:rFonts w:ascii="Gentium Plus" w:hAnsi="Gentium Plus"/>
          <w:sz w:val="24"/>
        </w:rPr>
        <w:t>AEL. V. Hist. IV 14 καὶ Ἀνάξαρχος ἐν τῶι Περὶ βασιλείας φησὶ χαλεπὸν χρήματα συναγείρασθαι, χαλεπώ‐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