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Ἀριστοφάνης ὁ Βοιωτός</w:t>
      </w:r>
      <w:r>
        <w:br/>
      </w:r>
      <w:r>
        <w:rPr>
          <w:i/>
          <w:color w:val="666666"/>
          <w:sz w:val="28"/>
        </w:rPr>
        <w:t>by Aristophanes Boeotia</w:t>
      </w:r>
    </w:p>
    <w:p/>
    <w:p>
      <w:r>
        <w:rPr>
          <w:rFonts w:ascii="Courier New" w:hAnsi="Courier New"/>
          <w:color w:val="555555"/>
          <w:sz w:val="20"/>
        </w:rPr>
        <w:t>[2bis (l1)]</w:t>
      </w:r>
    </w:p>
    <w:p>
      <w:r>
        <w:rPr>
          <w:rFonts w:ascii="Gentium Plus" w:hAnsi="Gentium Plus"/>
          <w:sz w:val="24"/>
        </w:rPr>
        <w:t>PAP. OX. 2463, 14—32 s. 2 i 3 p. (vol. 27, 1962, 104—110 [Taf. 10]):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Ἀριστοφάνης [δ’ ἐν]ˈ τῆι α πρώτη〈ι〉 τῶν Βοιω[τι]ˈκῶν ὑπὸ τοῦ πατρὸ[ς Ποι]ˈμάνδρου τελευ‐ τῆσα[ί φη]ˈσιν τὸν Ἔφιππον τ[άφρ(ον)] ˈ ὑπερ[αλ]όμενον κ[αθά]ˈπερ ἡ πολλὴ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δόξα—κ[αὶ] ˈ Τοξέα φησὶν ὑπὸ το[ῦ πα]ˈτρὸς Οἰνέως ἐπὶ τοῖς [αὐ]ˈτοῖς τελευ‐ τῆσαι—, γ[ρ̣άφων] ˈ οὕτως· ‘... τὸν γὰρ Πο[ίμαν]ˈδρόν φησιν (wer?), ὡς τὴ[ν τάφρον]ˈ τῆ〈ι〉 πόλει περιεβά[λλετο] ˈ —παῖδα αὐτοῦ τὸν Ἔφ[ιππον] ˈ φάσκειν ῥαιδίως ὐ̣[περ]ˈαλεῖσθαι τὴν τάφ[ρον, μὴ] ˈ φάσκοντος δὲ τοῦ Π[οιμάν]ˈδρου τὸν μὲν Ἔφι[ππον] ˈ διαπηδᾶν,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τὸν δὲ [...‘.]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