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Ἀριστόδημος ὁ ἱστορικός</w:t>
      </w:r>
      <w:r>
        <w:br/>
      </w:r>
      <w:r>
        <w:rPr>
          <w:i/>
          <w:color w:val="666666"/>
          <w:sz w:val="28"/>
        </w:rPr>
        <w:t>by Aristodemus Historian</w:t>
      </w:r>
    </w:p>
    <w:p/>
    <w:p>
      <w:r>
        <w:rPr>
          <w:rFonts w:ascii="Courier New" w:hAnsi="Courier New"/>
          <w:color w:val="555555"/>
          <w:sz w:val="20"/>
        </w:rPr>
        <w:t>[1b (l1)]</w:t>
      </w:r>
    </w:p>
    <w:p>
      <w:r>
        <w:rPr>
          <w:rFonts w:ascii="Gentium Plus" w:hAnsi="Gentium Plus"/>
          <w:sz w:val="24"/>
        </w:rPr>
        <w:t>PAP. OX. 2469 s. 2 p. (vol. 27, 1962, 141—145 [Taf. 5]);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... ⸤λαβὼν δὲ ὁ Μαρδόνιος πρῶτον ἔπε⸥μ̣ψ⸤εν ˈ Ἀλέξανδρον τὸν⸥ Μακε̣δ⸤όνα ˈ πρὸς Ἀθηναίους ὑπισ⸥χνού⸤μεˈνος δώσειν μ⸥ύ̣ρια τάλα⸤νˈτα καὶ⸥ 〈ἐλευθερίαν καὶ〉 ⸤αὐτονομ⸥ίαν αὐτ[οῖς] ˈ ⸤τηρήσειν, εἰ⸥ μένοιεν ˈ ⸤ἐφ’ ἑαυτῶν κα⸥ὶ̣ μὴ συμˈ⸤μαχ⸥[οῖεν] ⸤τοῖσ⸥ Ἕ̣λλησιν̣. ˈ [οἱ δὲ Ἀθηναῖοι] ἐξέβαλον ˈ [τὸν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ἄνδρα. διόπ]ερ ὁ Μαρδόˈ⸤νιοσ⸥ [εἰς Ἀθήνας ἐνέ]βαλεν ˈ [τὴν στρατιὰν] ⸤κ⸥α̣ὶ̣ τὰ 〈περι〉λειˈ⸤πόμενα προσε⸥νέπρησεν. ˈ [ἔπειτα δὲ περὶ Θ]ή̣βας ἐστραˈ⸤τοπε‐ δεύσατο, οἱ δ⸥ὲ Ἕλληˈ⸤νες ἐστρατο⸥πεδεύσαν̣ˈ⸤το⸥ [περὶ Πλαται]άς. μεταξὺ ˈ [δὲ τούτων] ⸤στάδια⸥ ἐν μέσω〈ι〉 ˈ ⸤ἐστὶν ὀγδο⸥ήκοντα. ˈ ⸤συνπαρετάσσον⸥το δὲ Μαρˈ⸤δονίωι Βοιωτῶ⸥ν καὶ τῶν ˈ [Ἑλλήνων τ]ῶ̣ν̣ μηδισάνˈ[των] ⸤μυρ⸥ιάδες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τέσσαρες. ˈ ⸤εἶχον δὲ⸥ τὸ μὲν δεξιὸν ˈ ⸤κέρας Πέρσ⸥α̣ι̣, τὸ δὲ εὐώνυˈ⸤μον οἱ μ⸥ ηδ{ε}ίσαντες Ἕλˈ⸤ληνες. τῶ⸥ν δὲ Ἑλλήνων ˈ [τὸ μὲν δε]ξιὸν κέρας Ἀθηˈ⸤ναῖοι⸥ [κα]τεῖχον, Λακεˈ⸤δαιμόνιο⸥ι δὲ θάτερον, 〈μετέστησαν δὲ Ἀθηναίους οἱ Λακεδαιμόνιοι〉 φήˈ⸤σαντες Ἀθ⸥ηναίους ἐμπειˈ⸤ροτέρουσ⸥ εἶν〈αι〉 ἤδη πρὸς ˈ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