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Ἀπόσπασμα</w:t>
      </w:r>
      <w:r>
        <w:br/>
      </w:r>
      <w:r>
        <w:rPr>
          <w:i/>
          <w:color w:val="666666"/>
          <w:sz w:val="40"/>
        </w:rPr>
        <w:t>Fragment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Βούθηρος</w:t>
      </w:r>
      <w:r>
        <w:br/>
      </w:r>
      <w:r>
        <w:rPr>
          <w:i/>
          <w:color w:val="666666"/>
          <w:sz w:val="28"/>
        </w:rPr>
        <w:t>by Butherus</w:t>
      </w:r>
    </w:p>
    <w:p/>
    <w:p>
      <w:r>
        <w:rPr>
          <w:rFonts w:ascii="Courier New" w:hAnsi="Courier New"/>
          <w:color w:val="555555"/>
          <w:sz w:val="20"/>
        </w:rPr>
        <w:t>[59 (3t)]</w:t>
      </w:r>
    </w:p>
    <w:p>
      <w:pPr>
        <w:jc w:val="center"/>
      </w:pPr>
      <w:r>
        <w:rPr>
          <w:rFonts w:ascii="Gentium Plus" w:hAnsi="Gentium Plus"/>
          <w:b/>
          <w:sz w:val="24"/>
        </w:rPr>
        <w:t>Περὶ ἀριθμῶν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Stob. 1.1 pr. 5 p. 18 Wa. (Mullach 2 p. 50) Βουθήρου Περὶ ἀριθμῶν.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Ἀριθμὸς ἐκ μονάδων σύγκειται ... ὅπερ ἐστὶν ἀρχὴ τῶν ὄντων καὶ μέτρον καὶ ἀσύνθετον καὶ ἀγένητον καὶ ἀίδιον καὶ μόνον καὶ εἰλικρινές, ὃ χωρὶς τῶν ἄλλων ἐστὶ καὶ αὐτὸ καθ’ ἑαυτὸ καὶ ἀρχὴ καὶ πρώτη φύσις, καὶ μαθεῖν αὐτὸ μηδ’ ἄλλο διορισαμένους μόνον ἐστὶν εἰλικρινὲς αὑτὸ δηλοῦν.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Ὁ περισσὸς τοῦ ἀρτίου τελεώτερός ἐστιν. ὁ μὲν γὰρ ἀρχὴν καὶ τέλος καὶ μέσον ἔχει, ὁ δὲ τοῦ μέσου στερεῖται. καὶ ὁ μέν, ὁπόταν γεννῶνται ἀνὰ λόγον καὶ πρὸς μονάδας, ταῖς αὑτοῦ χώραις καταλαμβάνει τοὺς ταῖς γραμμαῖς περιεχομένους· ὁ δ’ ἐν οἰκείᾳ μὲν γινόμενος οὐδέποτε περαίνεται, ὅταν δ’ ἐν περισσῇ γένηται, αὐτός τε πέρατος τυγχάνει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καὶ τὴν πλευρὰν λόγον ἔχουσαν ἴσχει. Τὸ ἓν οὐσία καὶ φύσις καὶ νοῦς καὶ μήνυμα· ἀρχὴν γὰρ καὶ μέσον καὶ πέρας ἔχον ἐστί· καὶ τὰ ἄλλα δὲ τούτου μετείληφεν ἃ ἔστι καὶ νοεῖται τῇ τούτου φύσει ἕκαστον ἀπὸ τῶν ἄλλων εἰλικρινούμενον καὶ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