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Χοιρίλος ὁ Ἰασεύς</w:t>
      </w:r>
      <w:r>
        <w:br/>
      </w:r>
      <w:r>
        <w:rPr>
          <w:i/>
          <w:color w:val="666666"/>
          <w:sz w:val="28"/>
        </w:rPr>
        <w:t>by Choerilus Iasus</w:t>
      </w:r>
    </w:p>
    <w:p/>
    <w:p>
      <w:r>
        <w:rPr>
          <w:rFonts w:ascii="Gentium Plus" w:hAnsi="Gentium Plus"/>
          <w:sz w:val="24"/>
        </w:rPr>
        <w:t>Εὖ εἰδὼς ὅτι θνητὸς ἔφυς σὸν θυμὸν ἄεξε, τερπόμενος θαλίῃσι· θανόντι τοι οὔτις ὄνησις. καὶ γὰρ ἐγὼ σποδός εἰμι Νίνου μεγάλης βασιλεύσας. κεῖν’ ἔχω ὅσς’ ἔφαγον καὶ ἐφύβρισα καὶ σὺν ἔρωτι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τέρπν’ ἔπαθον· τὰ δὲ πολλὰ καὶ ὄλβια πάντα λέλυνται. ἥδε σοφὴ βιότοιο παραίνεσις, οὐδέ ποτ’ αὐτῆς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