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Ποιητικὰ Ἀποσπάσματα</w:t>
      </w:r>
      <w:r>
        <w:br/>
      </w:r>
      <w:r>
        <w:rPr>
          <w:i/>
          <w:color w:val="666666"/>
          <w:sz w:val="40"/>
        </w:rPr>
        <w:t>Poetic Fragments</w:t>
      </w:r>
    </w:p>
    <w:p>
      <w:pPr>
        <w:jc w:val="center"/>
      </w:pPr>
      <w:r>
        <w:rPr>
          <w:rFonts w:ascii="Times New Roman" w:hAnsi="Times New Roman"/>
          <w:color w:val="1E3A70"/>
          <w:sz w:val="32"/>
        </w:rPr>
        <w:t>Χρύσιππος ὁ Σολεύς</w:t>
      </w:r>
      <w:r>
        <w:br/>
      </w:r>
      <w:r>
        <w:rPr>
          <w:i/>
          <w:color w:val="666666"/>
          <w:sz w:val="28"/>
        </w:rPr>
        <w:t>by Chrysippus Soli</w:t>
      </w:r>
    </w:p>
    <w:p/>
    <w:p>
      <w:r>
        <w:rPr>
          <w:rFonts w:ascii="Courier New" w:hAnsi="Courier New"/>
          <w:color w:val="555555"/>
          <w:sz w:val="20"/>
        </w:rPr>
        <w:t>[336?]</w:t>
      </w:r>
    </w:p>
    <w:p>
      <w:r>
        <w:rPr>
          <w:rFonts w:ascii="Gentium Plus" w:hAnsi="Gentium Plus"/>
          <w:sz w:val="24"/>
        </w:rPr>
        <w:t>ἀσύμβολον κώθωνα μὴ παραλίμπανε.</w:t>
      </w:r>
    </w:p>
    <w:p>
      <w:r>
        <w:rPr>
          <w:rFonts w:ascii="Courier New" w:hAnsi="Courier New"/>
          <w:color w:val="555555"/>
          <w:sz w:val="20"/>
        </w:rPr>
        <w:t>[337?]</w:t>
      </w:r>
    </w:p>
    <w:p>
      <w:r>
        <w:rPr>
          <w:rFonts w:ascii="Gentium Plus" w:hAnsi="Gentium Plus"/>
          <w:sz w:val="24"/>
        </w:rPr>
        <w:t>κώθων δ’ οὐ παραλειπτὸς ἀσύμβολος, ἀλλὰ διωκτός.</w:t>
      </w:r>
    </w:p>
    <w:p>
      <w:r>
        <w:rPr>
          <w:rFonts w:ascii="Courier New" w:hAnsi="Courier New"/>
          <w:color w:val="555555"/>
          <w:sz w:val="20"/>
        </w:rPr>
        <w:t>[338]</w:t>
      </w:r>
    </w:p>
    <w:p>
      <w:r>
        <w:rPr>
          <w:rFonts w:ascii="Gentium Plus" w:hAnsi="Gentium Plus"/>
          <w:sz w:val="24"/>
        </w:rPr>
        <w:t>εὖ εἰδὼς ὅτι θνητὸς ἔφυς σὸν θυμὸν ἄεξε, τερπόμενος μύθοισι· φαγόντι σοι οὔτις ὄνησις. καὶ γὰρ ἐγὼ ῥάκος εἰμί, φαγὼν ὡς πλεῖστα καὶ ἡσθείς. ταῦτ’ ἔχω ὅσς’ ἔμαθον καὶ ἐφρόντισα καὶ μετὰ τούτων</w:t>
      </w:r>
    </w:p>
    <w:p>
      <w:r>
        <w:rPr>
          <w:rFonts w:ascii="Courier New" w:hAnsi="Courier New"/>
          <w:color w:val="555555"/>
          <w:sz w:val="20"/>
        </w:rPr>
        <w:t>[5]</w:t>
      </w:r>
    </w:p>
    <w:p>
      <w:r>
        <w:rPr>
          <w:rFonts w:ascii="Gentium Plus" w:hAnsi="Gentium Plus"/>
          <w:sz w:val="24"/>
        </w:rPr>
        <w:t>ἔσθλ’ ἔπαθον· τὰ δὲ λοιπὰ καὶ ἡδέα πάντα λέλειπται. *</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