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Ἐπιστολὴ Πέτρου πρὸς Ἰάκωβον</w:t>
      </w:r>
      <w:r>
        <w:br/>
      </w:r>
      <w:r>
        <w:rPr>
          <w:i/>
          <w:color w:val="666666"/>
          <w:sz w:val="40"/>
        </w:rPr>
        <w:t>Letter of Peter to James</w:t>
      </w:r>
    </w:p>
    <w:p>
      <w:pPr>
        <w:jc w:val="center"/>
      </w:pPr>
      <w:r>
        <w:rPr>
          <w:rFonts w:ascii="Times New Roman" w:hAnsi="Times New Roman"/>
          <w:color w:val="1E3A70"/>
          <w:sz w:val="32"/>
        </w:rPr>
        <w:t>Κλήμης Ῥώμης καὶ Κλημέντεια</w:t>
      </w:r>
      <w:r>
        <w:br/>
      </w:r>
      <w:r>
        <w:rPr>
          <w:i/>
          <w:color w:val="666666"/>
          <w:sz w:val="28"/>
        </w:rPr>
        <w:t>by Clement Rome and Clementine Literature</w:t>
      </w:r>
    </w:p>
    <w:p/>
    <w:p>
      <w:r>
        <w:rPr>
          <w:rFonts w:ascii="Courier New" w:hAnsi="Courier New"/>
          <w:color w:val="555555"/>
          <w:sz w:val="20"/>
        </w:rPr>
        <w:t>[t 1]</w:t>
      </w:r>
    </w:p>
    <w:p>
      <w:pPr>
        <w:jc w:val="center"/>
      </w:pPr>
      <w:r>
        <w:rPr>
          <w:rFonts w:ascii="Gentium Plus" w:hAnsi="Gentium Plus"/>
          <w:b/>
          <w:sz w:val="24"/>
        </w:rPr>
        <w:t>[ΕΠΙΣΤΟΛΗ ΠΕΤΡΟΥ ΠΡΟΣ ΙΑΚΩΒΟΝ.]</w:t>
      </w:r>
    </w:p>
    <w:p>
      <w:r>
        <w:rPr>
          <w:rFonts w:ascii="Courier New" w:hAnsi="Courier New"/>
          <w:color w:val="555555"/>
          <w:sz w:val="20"/>
        </w:rPr>
        <w:t>[1 . 1]</w:t>
      </w:r>
    </w:p>
    <w:p>
      <w:r>
        <w:rPr>
          <w:rFonts w:ascii="Gentium Plus" w:hAnsi="Gentium Plus"/>
          <w:sz w:val="24"/>
        </w:rPr>
        <w:t>Πέτρος Ἰακώβῳ τῷ κυρίῳ καὶ ἐπισκόπῳ τῆς ἁγίας ἐκκλησίας. ὑπὸ τοῦ τῶν ὅλων πατρὸς διὰ Ἰησοῦ Χριστοῦ ἐν εἰρήνῃ πάντοτε.</w:t>
      </w:r>
    </w:p>
    <w:p>
      <w:r>
        <w:rPr>
          <w:rFonts w:ascii="Courier New" w:hAnsi="Courier New"/>
          <w:color w:val="555555"/>
          <w:sz w:val="20"/>
        </w:rPr>
        <w:t>[1 . 2]</w:t>
      </w:r>
    </w:p>
    <w:p>
      <w:r>
        <w:rPr>
          <w:rFonts w:ascii="Gentium Plus" w:hAnsi="Gentium Plus"/>
          <w:sz w:val="24"/>
        </w:rPr>
        <w:t>Εἰδώς σε, ἀδελφέ μου, εἰς τὸ κοινῇ πᾶσιν ἡμῖν συμφέρον σπεύδοντα προ‐ θύμως, ἀξιῶ καὶ δέομαι τῶν ἐμῶν κηρυγμάτων ἃς ἔπεμψά σοι βίβλους μη‐ δενὶ τῶν ἀπὸ τῶν ἐθνῶν μεταδοῦναι μήτε ὁμοφύλῳ πρὸ πείρας, ἀλλ’ ἐάν τις δοκιμασθεὶς ἄξιος εὑρεθῇ, τότε αὐτῷ κατὰ τὴν ἀγωγὴν παραδοῦναι, καθ’</w:t>
      </w:r>
    </w:p>
    <w:p>
      <w:r>
        <w:rPr>
          <w:rFonts w:ascii="Courier New" w:hAnsi="Courier New"/>
          <w:color w:val="555555"/>
          <w:sz w:val="20"/>
        </w:rPr>
        <w:t>[5]</w:t>
      </w:r>
    </w:p>
    <w:p>
      <w:r>
        <w:rPr>
          <w:rFonts w:ascii="Gentium Plus" w:hAnsi="Gentium Plus"/>
          <w:sz w:val="24"/>
        </w:rPr>
        <w:t>ἣν καὶ τοῖς ἑβδομήκοντα ὁ Μωυσῆς παρέδωκε τοῖς τὴν καθέδραν αὐτοῦ</w:t>
      </w:r>
    </w:p>
    <w:p>
      <w:r>
        <w:rPr>
          <w:rFonts w:ascii="Courier New" w:hAnsi="Courier New"/>
          <w:color w:val="555555"/>
          <w:sz w:val="20"/>
        </w:rPr>
        <w:t>[1 . 3]</w:t>
      </w:r>
    </w:p>
    <w:p>
      <w:r>
        <w:rPr>
          <w:rFonts w:ascii="Gentium Plus" w:hAnsi="Gentium Plus"/>
          <w:sz w:val="24"/>
        </w:rPr>
        <w:t>παρειληφόσιν. διὰ τοῦτο καὶ ὁ καρπὸς τῆς ἀσφαλείας μέχρι τοῦ δεῦρο φαίνεται. τὸν γὰρ αὐτὸν οἱ πανταχῆ ὁμόεθνοι τῆς μοναρχίας καὶ πολι‐ τείας φυλάσσουσι κανόνα, κατὰ μηδένα τρόπον ἄλλως φρονεῖν ὑπὸ τῶν</w:t>
      </w:r>
    </w:p>
    <w:p>
      <w:r>
        <w:rPr>
          <w:rFonts w:ascii="Courier New" w:hAnsi="Courier New"/>
          <w:color w:val="555555"/>
          <w:sz w:val="20"/>
        </w:rPr>
        <w:t>[1 . 4]</w:t>
      </w:r>
    </w:p>
    <w:p>
      <w:r>
        <w:rPr>
          <w:rFonts w:ascii="Gentium Plus" w:hAnsi="Gentium Plus"/>
          <w:sz w:val="24"/>
        </w:rPr>
        <w:t>πολλὰ νευρουσῶν γραφῶν ἐξοδευθῆναι δυνηθέντες. κατὰ γὰρ τὸν παρα‐ δοθέντα αὐτοῖς κανόνα τὰ τῶν γραφῶν ἀσύμφωνα πειρῶνται μεταρρυθ‐ μίζειν, εἰ δή τις· τυχὸν μὴ εἰδὼς τὰς παραδόσεις ναρκᾷ πρὸς τὰς τῶν προ‐</w:t>
      </w:r>
    </w:p>
    <w:p>
      <w:r>
        <w:rPr>
          <w:rFonts w:ascii="Courier New" w:hAnsi="Courier New"/>
          <w:color w:val="555555"/>
          <w:sz w:val="20"/>
        </w:rPr>
        <w:t>[1 . 5]</w:t>
      </w:r>
    </w:p>
    <w:p>
      <w:r>
        <w:rPr>
          <w:rFonts w:ascii="Gentium Plus" w:hAnsi="Gentium Plus"/>
          <w:sz w:val="24"/>
        </w:rPr>
        <w:t>φητῶν πολυσήμους φωνάς. οὗ ἕνεκεν οὐδενὶ διδάσκειν ἐπιτρέπουσιν, ἐὰν μὴ πρότερον μάθῃ πῶς δεῖ ταῖς γραφαῖς χρῆσθαι. διὰ τοῦτο παρ’ αὐτοῖς εἷς</w:t>
      </w:r>
    </w:p>
    <w:p>
      <w:r>
        <w:rPr>
          <w:rFonts w:ascii="Courier New" w:hAnsi="Courier New"/>
          <w:color w:val="555555"/>
          <w:sz w:val="20"/>
        </w:rPr>
        <w:t>[2 . 1]</w:t>
      </w:r>
    </w:p>
    <w:p>
      <w:r>
        <w:rPr>
          <w:rFonts w:ascii="Gentium Plus" w:hAnsi="Gentium Plus"/>
          <w:sz w:val="24"/>
        </w:rPr>
        <w:t>θεός, εἷς νόμος, μία ἐλπίς. ἵνα γοῦν τὸ ὅμοιον καὶ παρ’ ἡμῖν γένηται, τοῖς ἑβδομήκοντα ἡμῶν ἀδελφοῖς τὰς βίβλους μου τῶν κηρυγμάτων δὸς μετὰ τοῦ ὁμοίου τῆς ἀγωγῆς μυστηρίου, ἵνα καὶ τοὺς βουλομένους τὸ</w:t>
      </w:r>
    </w:p>
    <w:p>
      <w:r>
        <w:rPr>
          <w:rFonts w:ascii="Courier New" w:hAnsi="Courier New"/>
          <w:color w:val="555555"/>
          <w:sz w:val="20"/>
        </w:rPr>
        <w:t>[2 . 2]</w:t>
      </w:r>
    </w:p>
    <w:p>
      <w:r>
        <w:rPr>
          <w:rFonts w:ascii="Gentium Plus" w:hAnsi="Gentium Plus"/>
          <w:sz w:val="24"/>
        </w:rPr>
        <w:t>τῆς διδασκαλίας ἀναδέξασθαι μέρος ἐφοδιάζειν ἐφοδιάζωσιν· ἐπεὶ ἐὰν μὴ οὕτως γένηται, εἰς πολλὰς γνώμας ὁ τῆς ἀληθείας ἡμῶν διαιρε‐</w:t>
      </w:r>
    </w:p>
    <w:p>
      <w:r>
        <w:rPr>
          <w:rFonts w:ascii="Courier New" w:hAnsi="Courier New"/>
          <w:color w:val="555555"/>
          <w:sz w:val="20"/>
        </w:rPr>
        <w:t>[2 . 3]</w:t>
      </w:r>
    </w:p>
    <w:p>
      <w:r>
        <w:rPr>
          <w:rFonts w:ascii="Gentium Plus" w:hAnsi="Gentium Plus"/>
          <w:sz w:val="24"/>
        </w:rPr>
        <w:t>αὐτοῦ τοῦ κακοῦ τὴν ἀρχὴν ὁρῶν. τινὲς γὰρ τῶν ἀπὸ ἐθνῶν τὸ δι’ ἐμοῦ νόμιμον ἀπεδοκίμασαν κήρυγμα, τοῦ ἐχθροῦ ἀνθρώπου ἄνομόν τινα</w:t>
      </w:r>
    </w:p>
    <w:p>
      <w:r>
        <w:rPr>
          <w:rFonts w:ascii="Courier New" w:hAnsi="Courier New"/>
          <w:color w:val="555555"/>
          <w:sz w:val="20"/>
        </w:rPr>
        <w:t>[2 . 4]</w:t>
      </w:r>
    </w:p>
    <w:p>
      <w:r>
        <w:rPr>
          <w:rFonts w:ascii="Gentium Plus" w:hAnsi="Gentium Plus"/>
          <w:sz w:val="24"/>
        </w:rPr>
        <w:t>καὶ φλυαρώδη προσηκάμενοι διδασκαλίαν. καὶ ταῦτα ἔτι μου περιόντος ἐπεχείρησάν τινες ποικίλαις τισὶν ἑρμηνείαις τοὺς ἐμοὺς λόγους μετασχη‐ ματίζειν εἰς τὴν τοῦ νόμου κατάλυσιν, ὡς καὶ ἐμοῦ αὐτοῦ οὕτω μὲν φρο‐</w:t>
      </w:r>
    </w:p>
    <w:p>
      <w:r>
        <w:rPr>
          <w:rFonts w:ascii="Courier New" w:hAnsi="Courier New"/>
          <w:color w:val="555555"/>
          <w:sz w:val="20"/>
        </w:rPr>
        <w:t>[2 . 5]</w:t>
      </w:r>
    </w:p>
    <w:p>
      <w:r>
        <w:rPr>
          <w:rFonts w:ascii="Gentium Plus" w:hAnsi="Gentium Plus"/>
          <w:sz w:val="24"/>
        </w:rPr>
        <w:t>νοῦντος, μὴ ἐκ παρρησίας δὲ κηρύσσοντος. ὅπερ ἀπείη. τὸ γὰρ τοιοῦτο ἀντιπράσσειν ἐστὶ τῷ τοῦ θεοῦ νόμῳ τῷ διὰ Μωυσέως ῥηθέντι καὶ ὑπὸ τοῦ κυρίου ἡμῶν μαρτυρηθέντι περὶ τῆς ἀιδίου αὐτοῦ διαμονῆς. ἐπεὶ οὕτως εἶπεν· «Ὁ οὐρανὸς καὶ ἡ γῆ παρελεύσονται, ἰῶτα ἓν ἢ μία κεραία οὐ</w:t>
      </w:r>
    </w:p>
    <w:p>
      <w:r>
        <w:rPr>
          <w:rFonts w:ascii="Courier New" w:hAnsi="Courier New"/>
          <w:color w:val="555555"/>
          <w:sz w:val="20"/>
        </w:rPr>
        <w:t>[2 . 6]</w:t>
      </w:r>
    </w:p>
    <w:p>
      <w:r>
        <w:rPr>
          <w:rFonts w:ascii="Gentium Plus" w:hAnsi="Gentium Plus"/>
          <w:sz w:val="24"/>
        </w:rPr>
        <w:t>μὴ παρέλθῃ ἀπὸ τοῦ νόμου». τοῦτο δὲ εἴρηκεν, «ἵνα τὰ πάντα γίνη‐ ται». οἱ δὲ οὐκ οἶδα πῶς τὸν ἐμὸν νοῦν ἐπαγγελλόμενοι, οὓς ἤκου‐ σαν ἐξ ἐμοῦ λόγους, ἐμοῦ τοῦ εἰπόντος αὐτοὺς φρονιμώτερον ἐπιχει‐ ροῦσιν ἑρμηνεύειν, λέγοντες τοῖς ὑπ’ αὐτῶν κατηχουμένοις τοῦτο εἶναι</w:t>
      </w:r>
    </w:p>
    <w:p>
      <w:r>
        <w:rPr>
          <w:rFonts w:ascii="Courier New" w:hAnsi="Courier New"/>
          <w:color w:val="555555"/>
          <w:sz w:val="20"/>
        </w:rPr>
        <w:t>[2 . 7]</w:t>
      </w:r>
    </w:p>
    <w:p>
      <w:r>
        <w:rPr>
          <w:rFonts w:ascii="Gentium Plus" w:hAnsi="Gentium Plus"/>
          <w:sz w:val="24"/>
        </w:rPr>
        <w:t>τὸ ἐμὸν φρόνημα, ὃ ἐγὼ οὐδὲ ἐνεθυμήθην. εἰ δὲ ἐμοῦ ἔτι περιόντος τοιαῦτα τολμῶσιν καταψεύδεσθαι, πόσῳ γε μᾶλλον μετ’ ἐμὲ ποιεῖν οἱ</w:t>
      </w:r>
    </w:p>
    <w:p>
      <w:r>
        <w:rPr>
          <w:rFonts w:ascii="Courier New" w:hAnsi="Courier New"/>
          <w:color w:val="555555"/>
          <w:sz w:val="20"/>
        </w:rPr>
        <w:t>[3 . 1]</w:t>
      </w:r>
    </w:p>
    <w:p>
      <w:r>
        <w:rPr>
          <w:rFonts w:ascii="Gentium Plus" w:hAnsi="Gentium Plus"/>
          <w:sz w:val="24"/>
        </w:rPr>
        <w:t>μετ’ ἐμὲ τολμήσουσιν; ἵνα οὖν μὴ τοιοῦτόν τι γένηται, τούτου ἕνεκα ἠξίωσα καὶ ἐδεήθην τῶν ἐμῶν κηρυγμάτων ἃς ἔπεμψά σοι βίβλους μηδενὶ μεταδοῦναι μήτε ὁμοφύλῳ μήτε ἀλλοφύλῳ πρὸ πείρας, ἀλλ’ ἐάν τις δοκιμασθεὶς ἄξιος εὑρεθῇ, τότε αὐτῷ κατὰ τὴν Μωυσέως ἀγωγὴν</w:t>
      </w:r>
    </w:p>
    <w:p>
      <w:r>
        <w:rPr>
          <w:rFonts w:ascii="Courier New" w:hAnsi="Courier New"/>
          <w:color w:val="555555"/>
          <w:sz w:val="20"/>
        </w:rPr>
        <w:t>[3 . 2]</w:t>
      </w:r>
    </w:p>
    <w:p>
      <w:r>
        <w:rPr>
          <w:rFonts w:ascii="Gentium Plus" w:hAnsi="Gentium Plus"/>
          <w:sz w:val="24"/>
        </w:rPr>
        <w:t>παραδοῦναι, καθ’ ἣν τοῖς ἑβδομήκοντα παρέδωκεν τοῖς τὴν καθέδραν αὐτοῦ παρειληφόσιν, ἵνα οὕτως τὰς πίστεις φυλάξωσιν καὶ πανταχῆ τὸν τῆς ἀληθείας κανόνα παραδῶσιν, ἑρμηνεύοντες τὰ πάντα πρὸς τὴν παράδοσιν ἡμῶν, καὶ μὴ αὐτοὶ ὑπὸ ἀμαθείας κατασπώμενοι, ὑπὸ τῶν κατὰ τὴν</w:t>
      </w:r>
    </w:p>
    <w:p>
      <w:r>
        <w:rPr>
          <w:rFonts w:ascii="Courier New" w:hAnsi="Courier New"/>
          <w:color w:val="555555"/>
          <w:sz w:val="20"/>
        </w:rPr>
        <w:t>[5]</w:t>
      </w:r>
    </w:p>
    <w:p>
      <w:r>
        <w:rPr>
          <w:rFonts w:ascii="Gentium Plus" w:hAnsi="Gentium Plus"/>
          <w:sz w:val="24"/>
        </w:rPr>
        <w:t>ψυχὴν στοχασμῶν εἰς πλάνην ἑλκόμενοι, ἄλλους εἰς τὸν ὅμοιον τῆς</w:t>
      </w:r>
    </w:p>
    <w:p>
      <w:r>
        <w:rPr>
          <w:rFonts w:ascii="Courier New" w:hAnsi="Courier New"/>
          <w:color w:val="555555"/>
          <w:sz w:val="20"/>
        </w:rPr>
        <w:t>[3 . 3]</w:t>
      </w:r>
    </w:p>
    <w:p>
      <w:r>
        <w:rPr>
          <w:rFonts w:ascii="Gentium Plus" w:hAnsi="Gentium Plus"/>
          <w:sz w:val="24"/>
        </w:rPr>
        <w:t>ἀπωλείας ἐνέγκωσιν βόθυνον. καὶ τὰ μὲν ἐμοὶ δόξαντα καλῶς ἐσήμανά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