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Κριτίας ὁ Ἀθηναῖος</w:t>
      </w:r>
      <w:r>
        <w:br/>
      </w:r>
      <w:r>
        <w:rPr>
          <w:i/>
          <w:color w:val="666666"/>
          <w:sz w:val="28"/>
        </w:rPr>
        <w:t>by Critias Athens</w:t>
      </w:r>
    </w:p>
    <w:p/>
    <w:p>
      <w:r>
        <w:rPr>
          <w:rFonts w:ascii="Courier New" w:hAnsi="Courier New"/>
          <w:color w:val="555555"/>
          <w:sz w:val="20"/>
        </w:rPr>
        <w:t>[B2]</w:t>
      </w:r>
    </w:p>
    <w:p>
      <w:r>
        <w:rPr>
          <w:rFonts w:ascii="Gentium Plus" w:hAnsi="Gentium Plus"/>
          <w:sz w:val="24"/>
        </w:rPr>
        <w:t>κότταβος ἐκ Σικελῆς ἐστι χθονός, ἐκπρεπὲς ἔργον, ὃν σκοπὸν ἐς λατάγων τόξα καθιστάμεθα. εἶτα δ’ ὄχος Σικελὸς κάλλει δαπάνηι τε κράτιστος</w:t>
      </w:r>
    </w:p>
    <w:p>
      <w:r>
        <w:rPr>
          <w:rFonts w:ascii="Courier New" w:hAnsi="Courier New"/>
          <w:color w:val="555555"/>
          <w:sz w:val="20"/>
        </w:rPr>
        <w:t>[3]</w:t>
      </w:r>
    </w:p>
    <w:p>
      <w:r>
        <w:rPr>
          <w:rFonts w:ascii="Gentium Plus" w:hAnsi="Gentium Plus"/>
          <w:sz w:val="24"/>
        </w:rPr>
        <w:t>......... Θεσσαλικὸς δὲ θρόνος γυίων τρυφερωτάτη ἕδρα.</w:t>
      </w:r>
    </w:p>
    <w:p>
      <w:r>
        <w:rPr>
          <w:rFonts w:ascii="Courier New" w:hAnsi="Courier New"/>
          <w:color w:val="555555"/>
          <w:sz w:val="20"/>
        </w:rPr>
        <w:t>[5]</w:t>
      </w:r>
    </w:p>
    <w:p>
      <w:r>
        <w:rPr>
          <w:rFonts w:ascii="Gentium Plus" w:hAnsi="Gentium Plus"/>
          <w:sz w:val="24"/>
        </w:rPr>
        <w:t>εὐναίου δὲ λέχους †κάλλος ἔχει Μίλητός τε Χίος τ’ ἔναλος πόλις Οἰνοπίωνος. Τυρσηνὴ δὲ κρατεῖ χρυσότυπος φιάλη, καὶ πᾶς χαλκὸς ὅτις κοσμεῖ δόμον ἔν τινι χρείαι. Φοίνικες δ’ ηὗρον γράμματ’ ἀλεξίλογα.</w:t>
      </w:r>
    </w:p>
    <w:p>
      <w:r>
        <w:rPr>
          <w:rFonts w:ascii="Courier New" w:hAnsi="Courier New"/>
          <w:color w:val="555555"/>
          <w:sz w:val="20"/>
        </w:rPr>
        <w:t>[10]</w:t>
      </w:r>
    </w:p>
    <w:p>
      <w:r>
        <w:rPr>
          <w:rFonts w:ascii="Gentium Plus" w:hAnsi="Gentium Plus"/>
          <w:sz w:val="24"/>
        </w:rPr>
        <w:t>Θήβη δ’ ἁρματόεντα δίφρον συνεπήξατο πρώτη· φορτηγοὺς δ’ ἀκάτους Κᾶρες ἁλὸς ταμίαι. τὸν δὲ τροχὸν γαίας τε καμίνου τ’ ἔκγονον ηὗρεν κλεινότατον κέραμον, χρήσιμον οἰκονόμον, ἡ τὸ καλὸν Μαραθῶνι καταστήσασα τρόπαιον.</w:t>
      </w:r>
    </w:p>
    <w:p>
      <w:r>
        <w:rPr>
          <w:rFonts w:ascii="Courier New" w:hAnsi="Courier New"/>
          <w:color w:val="555555"/>
          <w:sz w:val="20"/>
        </w:rPr>
        <w:t>[4]</w:t>
      </w:r>
    </w:p>
    <w:p>
      <w:r>
        <w:rPr>
          <w:rFonts w:ascii="Gentium Plus" w:hAnsi="Gentium Plus"/>
          <w:sz w:val="24"/>
        </w:rPr>
        <w:t>καὶ νῦν Κλεινίου υἱὸν Ἀθηναῖον στεφανώσω Ἀλκιβιάδην νέοισιν ὑμνήσας τρόποις· οὐ γάρ πως ἦν τοὔνομ’ ἐφαρμόζειν ἐλεγείωι, νῦν δ’ ἐν ἰαμβείωι κείσεται οὐκ ἀμέτρως.</w:t>
      </w:r>
    </w:p>
    <w:p>
      <w:r>
        <w:rPr>
          <w:rFonts w:ascii="Courier New" w:hAnsi="Courier New"/>
          <w:color w:val="555555"/>
          <w:sz w:val="20"/>
        </w:rPr>
        <w:t>[5]</w:t>
      </w:r>
    </w:p>
    <w:p>
      <w:r>
        <w:rPr>
          <w:rFonts w:ascii="Gentium Plus" w:hAnsi="Gentium Plus"/>
          <w:sz w:val="24"/>
        </w:rPr>
        <w:t>γνώμην δ’ ἥ σε κατήγαγ’, ἐγὼ ταύτην ἐν ἅπασιν εἶπον, καὶ γράψας τοὖργον ἔδρασα τόδε,</w:t>
      </w:r>
    </w:p>
    <w:p>
      <w:r>
        <w:rPr>
          <w:rFonts w:ascii="Courier New" w:hAnsi="Courier New"/>
          <w:color w:val="555555"/>
          <w:sz w:val="20"/>
        </w:rPr>
        <w:t>[6]</w:t>
      </w:r>
    </w:p>
    <w:p>
      <w:r>
        <w:rPr>
          <w:rFonts w:ascii="Gentium Plus" w:hAnsi="Gentium Plus"/>
          <w:sz w:val="24"/>
        </w:rPr>
        <w:t>καὶ τόδ’ ἔθος Σπάρτηι μελέτημά τε κείμενόν ἐστι· πίνειν τὴν αὐτὴν οἰνοφόρον κύλικα, μηδ’ ἀποδωρεῖσθαι προπόσεις ὀνομαστὶ λέγοντα, μηδ’ ἐπὶ δεξιτερὰν χεῖρα κύκλωι θιάσου</w:t>
      </w:r>
    </w:p>
    <w:p>
      <w:r>
        <w:rPr>
          <w:rFonts w:ascii="Courier New" w:hAnsi="Courier New"/>
          <w:color w:val="555555"/>
          <w:sz w:val="20"/>
        </w:rPr>
        <w:t>[4]</w:t>
      </w:r>
    </w:p>
    <w:p>
      <w:r>
        <w:rPr>
          <w:rFonts w:ascii="Gentium Plus" w:hAnsi="Gentium Plus"/>
          <w:sz w:val="24"/>
        </w:rPr>
        <w:t>.........</w:t>
      </w:r>
    </w:p>
    <w:p>
      <w:r>
        <w:rPr>
          <w:rFonts w:ascii="Courier New" w:hAnsi="Courier New"/>
          <w:color w:val="555555"/>
          <w:sz w:val="20"/>
        </w:rPr>
        <w:t>[5]</w:t>
      </w:r>
    </w:p>
    <w:p>
      <w:r>
        <w:rPr>
          <w:rFonts w:ascii="Gentium Plus" w:hAnsi="Gentium Plus"/>
          <w:sz w:val="24"/>
        </w:rPr>
        <w:t>ἄγγεα Λυδὴ χεὶρ ηὗρ’ Ἀσιατογενής, καὶ προπόσεις ὀρέγειν ἐπιδέξια, καὶ προκαλεῖσθαι ἐξονομακλήδην ὧι προπιεῖν ἐθέλει. εἶτ’ ἀπὸ τοιούτων πόσεων γλώσσας τε λύουσιν εἰς αἰσχροὺς μύθους σῶμά τ’ ἀμαυρότερον</w:t>
      </w:r>
    </w:p>
    <w:p>
      <w:r>
        <w:rPr>
          <w:rFonts w:ascii="Courier New" w:hAnsi="Courier New"/>
          <w:color w:val="555555"/>
          <w:sz w:val="20"/>
        </w:rPr>
        <w:t>[10]</w:t>
      </w:r>
    </w:p>
    <w:p>
      <w:r>
        <w:rPr>
          <w:rFonts w:ascii="Gentium Plus" w:hAnsi="Gentium Plus"/>
          <w:sz w:val="24"/>
        </w:rPr>
        <w:t>τεύχουσιν· πρὸς δ’ ὄμμ’ ἀχλὺς ἀμβλωπὸς ἐφίζει, λῆστις δ’ ἐκτήκει μνημοσύνην πραπίδων, νοῦς δὲ παρέσφαλται· δμῶες δ’ ἀκόλαστον ἔχουσιν ἦθος· ἐπεισπίπτει δ’ οἰκοτριβὴς δαπάνη. οἱ Λακεδαιμονίων δὲ κόροι πίνουσι τοσοῦτον</w:t>
      </w:r>
    </w:p>
    <w:p>
      <w:r>
        <w:rPr>
          <w:rFonts w:ascii="Courier New" w:hAnsi="Courier New"/>
          <w:color w:val="555555"/>
          <w:sz w:val="20"/>
        </w:rPr>
        <w:t>[15]</w:t>
      </w:r>
    </w:p>
    <w:p>
      <w:r>
        <w:rPr>
          <w:rFonts w:ascii="Gentium Plus" w:hAnsi="Gentium Plus"/>
          <w:sz w:val="24"/>
        </w:rPr>
        <w:t>ὥστε φρέν’ εἰς ἱλαρὰν †ἀσπίδα πάντ’ ἀπάγειν εἴς τε φιλοφροσύνην γλῶσσαν μέτριόν τε γέλωτα. τοιαύτη δὲ πόσις σώματί τ’ ὠφέλιμος γνώμηι τε κτήσει τε· καλῶς δ’ εἰς ἔργ’ Ἀφροδίτης πρός θ’ ὕπνον ἥρμοσται, τὸν καμάτων λιμένα,</w:t>
      </w:r>
    </w:p>
    <w:p>
      <w:r>
        <w:rPr>
          <w:rFonts w:ascii="Courier New" w:hAnsi="Courier New"/>
          <w:color w:val="555555"/>
          <w:sz w:val="20"/>
        </w:rPr>
        <w:t>[20]</w:t>
      </w:r>
    </w:p>
    <w:p>
      <w:r>
        <w:rPr>
          <w:rFonts w:ascii="Gentium Plus" w:hAnsi="Gentium Plus"/>
          <w:sz w:val="24"/>
        </w:rPr>
        <w:t>πρὸς τὴν τερπνοτάτην τε θεῶν θνητοῖς Ὑγίειαν καὶ τὴν Εὐσεβίης γείτονα Σωφροσύνην. αἱ γὰρ ὑπὲρ τὸ μέτρον κυλίκων προπόσεις παραχρῆμα τέρψασαι λυποῦς’ εἰς τὸν ἅπαντα χρόνον·</w:t>
      </w:r>
    </w:p>
    <w:p>
      <w:r>
        <w:rPr>
          <w:rFonts w:ascii="Courier New" w:hAnsi="Courier New"/>
          <w:color w:val="555555"/>
          <w:sz w:val="20"/>
        </w:rPr>
        <w:t>[25]</w:t>
      </w:r>
    </w:p>
    <w:p>
      <w:r>
        <w:rPr>
          <w:rFonts w:ascii="Gentium Plus" w:hAnsi="Gentium Plus"/>
          <w:sz w:val="24"/>
        </w:rPr>
        <w:t>ἔσθειν καὶ πίνειν σύμμετρα πρὸς τὸ φρονεῖν καὶ τὸ πονεῖν εἶναι δυνατούς· οὐκ ἔστ’ ἀπότακτος ἡμέρα οἰνῶσαι σῶμ’ ἀμέτροισι πότοις.</w:t>
      </w:r>
    </w:p>
    <w:p>
      <w:r>
        <w:rPr>
          <w:rFonts w:ascii="Courier New" w:hAnsi="Courier New"/>
          <w:color w:val="555555"/>
          <w:sz w:val="20"/>
        </w:rPr>
        <w:t>[7]</w:t>
      </w:r>
    </w:p>
    <w:p>
      <w:r>
        <w:rPr>
          <w:rFonts w:ascii="Gentium Plus" w:hAnsi="Gentium Plus"/>
          <w:sz w:val="24"/>
        </w:rPr>
        <w:t>ἦν Λακεδαιμόνιος Χίλων σοφός, ὃς τάδ’ ἔλεξε· “μηδὲν ἄγαν· καιρῶι πάντα πρόσεστι καλά”.</w:t>
      </w:r>
    </w:p>
    <w:p>
      <w:r>
        <w:rPr>
          <w:rFonts w:ascii="Courier New" w:hAnsi="Courier New"/>
          <w:color w:val="555555"/>
          <w:sz w:val="20"/>
        </w:rPr>
        <w:t>[8]</w:t>
      </w:r>
    </w:p>
    <w:p>
      <w:r>
        <w:rPr>
          <w:rFonts w:ascii="Gentium Plus" w:hAnsi="Gentium Plus"/>
          <w:sz w:val="24"/>
        </w:rPr>
        <w:t>πλοῦτον μὲν Σκοπαδῶν, μεγαλοφροσύνην δὲ Κίμωνος,</w:t>
      </w:r>
    </w:p>
    <w:p>
      <w:r>
        <w:rPr>
          <w:rFonts w:ascii="Courier New" w:hAnsi="Courier New"/>
          <w:color w:val="555555"/>
          <w:sz w:val="20"/>
        </w:rPr>
        <w:t>[9]</w:t>
      </w:r>
    </w:p>
    <w:p>
      <w:r>
        <w:rPr>
          <w:rFonts w:ascii="Gentium Plus" w:hAnsi="Gentium Plus"/>
          <w:sz w:val="24"/>
        </w:rPr>
        <w:t>ἐκ μελέτης πλείους ἢ φύσεως ἀγαθοί.</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