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Ὁμιλία εἰς τὸ Ὕδωρ Γεγενημένον Οἶνον</w:t>
      </w:r>
      <w:r>
        <w:br/>
      </w:r>
      <w:r>
        <w:rPr>
          <w:i/>
          <w:color w:val="666666"/>
          <w:sz w:val="40"/>
        </w:rPr>
        <w:t>Homily on Water Turned into Wine,Fragments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Κύριλλος ὁ Ἱεροσολυμίτης</w:t>
      </w:r>
      <w:r>
        <w:br/>
      </w:r>
      <w:r>
        <w:rPr>
          <w:i/>
          <w:color w:val="666666"/>
          <w:sz w:val="28"/>
        </w:rPr>
        <w:t>by Cyril Jerusalem</w:t>
      </w:r>
    </w:p>
    <w:p/>
    <w:p>
      <w:r>
        <w:rPr>
          <w:rFonts w:ascii="Courier New" w:hAnsi="Courier New"/>
          <w:color w:val="555555"/>
          <w:sz w:val="20"/>
        </w:rPr>
        <w:t>[92 (18t)]</w:t>
      </w:r>
    </w:p>
    <w:p>
      <w:pPr>
        <w:jc w:val="center"/>
      </w:pPr>
      <w:r>
        <w:rPr>
          <w:rFonts w:ascii="Gentium Plus" w:hAnsi="Gentium Plus"/>
          <w:b/>
          <w:sz w:val="24"/>
        </w:rPr>
        <w:t>Κυρίλλου Ἱεροσολύμων ἐκ τῆς εἰς τὸ εὐαγγέλιον ὁμιλίας,</w:t>
      </w:r>
    </w:p>
    <w:p>
      <w:r>
        <w:rPr>
          <w:rFonts w:ascii="Courier New" w:hAnsi="Courier New"/>
          <w:color w:val="555555"/>
          <w:sz w:val="20"/>
        </w:rPr>
        <w:t>[19t]</w:t>
      </w:r>
    </w:p>
    <w:p>
      <w:pPr>
        <w:jc w:val="center"/>
      </w:pPr>
      <w:r>
        <w:rPr>
          <w:rFonts w:ascii="Gentium Plus" w:hAnsi="Gentium Plus"/>
          <w:b/>
          <w:sz w:val="24"/>
        </w:rPr>
        <w:t>ἔνθα ὁ κύριος τὸ ὕδωρ οἶνον ἐποίησεν.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Ἐσπούδασε μήτε δι’ ὅλου φανερῶσαι τὴν ἑαυτοῦ θεότητα</w:t>
      </w:r>
    </w:p>
    <w:p>
      <w:r>
        <w:rPr>
          <w:rFonts w:ascii="Courier New" w:hAnsi="Courier New"/>
          <w:color w:val="555555"/>
          <w:sz w:val="20"/>
        </w:rPr>
        <w:t>[93]</w:t>
      </w:r>
    </w:p>
    <w:p>
      <w:r>
        <w:rPr>
          <w:rFonts w:ascii="Gentium Plus" w:hAnsi="Gentium Plus"/>
          <w:sz w:val="24"/>
        </w:rPr>
        <w:t>διὰ τοὺς τότε, ἐσπούδασε μὴ ἀποκρύψαι διὰ τοὺς μετὰ ταῦτα, ἀλλὰ δεῖξαι καὶ τῆς θεότητος αὐτοῦ καὶ τῆς ἀνθρωπότητος αὐτοῦ τρανὰς τὰς ἐνεργείας, ἵνα μήτε ἡ θεία δύναμις ἀμβλυνθῇ μήτε ἡ ἀνθρωπίνη φύσις ἀπιστηθῇ. ἐπειδὴ γὰρ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ἔμελλεν αἵρεσις ἀνακύπτειν ἡ λέγουσα, ὅτι „φάντασμα ἦν τὸ σῶμα καὶ ἐξ οὐρανοῦ κατῆλθεν, οὐ γὰρ ἂν ἔλαβε τοῦ φθαρτοῦ σώματος σάρκα ἡ ἄφθαρτος φύσις, οὐδ’ ἂν κατε‐ δέξατο ῥύπον ἢ μολυσμὸν ἢ σπῖλον“, ἵνα πιστώσηται ὁ θεὸς τῶν ἀνθρώπων τὸ γένος, ὅτι τοῦτο ἐγένετο, ὅ ἐσμεν, μένων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ὃ ἦν, διὰ τοῦτο συνεχώρησε τῇ σαρκὶ πάσχειν τὰ ἴδια.</w:t>
      </w:r>
    </w:p>
    <w:p>
      <w:r>
        <w:rPr>
          <w:rFonts w:ascii="Courier New" w:hAnsi="Courier New"/>
          <w:color w:val="555555"/>
          <w:sz w:val="20"/>
        </w:rPr>
        <w:t>[11t]</w:t>
      </w:r>
    </w:p>
    <w:p>
      <w:pPr>
        <w:jc w:val="center"/>
      </w:pPr>
      <w:r>
        <w:rPr>
          <w:rFonts w:ascii="Gentium Plus" w:hAnsi="Gentium Plus"/>
          <w:b/>
          <w:sz w:val="24"/>
        </w:rPr>
        <w:t>Τοῦ αὐτοῦ ἐκ τοῦ αὐτοῦ λόγου.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Ἐγεννήθη, ἐθαυματούργησεν, ἔδειξε τὴν διπλῆν ἐνέρ‐ γειαν, πάσχων μὲν ὡς ἄνθρωπος, ἐνεργῶν δὲ ὡς θεὸς ὁ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