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Δαμάστης ὁ Σιγειεύς</w:t>
      </w:r>
      <w:r>
        <w:br/>
      </w:r>
      <w:r>
        <w:rPr>
          <w:i/>
          <w:color w:val="666666"/>
          <w:sz w:val="28"/>
        </w:rPr>
        <w:t>by Damastes Sigeum</w:t>
      </w:r>
    </w:p>
    <w:p/>
    <w:p>
      <w:r>
        <w:rPr>
          <w:rFonts w:ascii="Courier New" w:hAnsi="Courier New"/>
          <w:color w:val="555555"/>
          <w:sz w:val="20"/>
        </w:rPr>
        <w:t>[t1-6]</w:t>
      </w:r>
    </w:p>
    <w:p>
      <w:r>
        <w:rPr>
          <w:rFonts w:ascii="Gentium Plus" w:hAnsi="Gentium Plus"/>
          <w:sz w:val="24"/>
        </w:rPr>
        <w:t>ΠΕΡΙΠΛΟΥΣ. (ΠΕΡΙ ΕΘΝΩΝ.)</w:t>
      </w:r>
    </w:p>
    <w:p>
      <w:r>
        <w:rPr>
          <w:rFonts w:ascii="Courier New" w:hAnsi="Courier New"/>
          <w:color w:val="555555"/>
          <w:sz w:val="20"/>
        </w:rPr>
        <w:t>[1]</w:t>
      </w:r>
    </w:p>
    <w:p>
      <w:r>
        <w:rPr>
          <w:rFonts w:ascii="Gentium Plus" w:hAnsi="Gentium Plus"/>
          <w:sz w:val="24"/>
        </w:rPr>
        <w:t>Stephan. Byz.: Ὑπερβόρεοι ... Δαμάστης δ’ ἐν τῷ Περὶ ἐθνῶν· Ἄνω Σκυθῶν Ἰσσηδόνας οἰκεῖν, τούτων δ’ ἀνωτέρω Ἀριμάσπους, ἄνω δ’ Ἀριμασπῶν τὰ Ῥίπαια ὄρη, ἐξ ὧν τὸν βορέαν πνεῖν, χιόνα δ’ αὐτὰ μήποτε ἐλ‐</w:t>
      </w:r>
    </w:p>
    <w:p>
      <w:r>
        <w:rPr>
          <w:rFonts w:ascii="Courier New" w:hAnsi="Courier New"/>
          <w:color w:val="555555"/>
          <w:sz w:val="20"/>
        </w:rPr>
        <w:t>[5]</w:t>
      </w:r>
    </w:p>
    <w:p>
      <w:r>
        <w:rPr>
          <w:rFonts w:ascii="Gentium Plus" w:hAnsi="Gentium Plus"/>
          <w:sz w:val="24"/>
        </w:rPr>
        <w:t>λείπειν· ὑπὲρ δὲ τὰ ὄρη ταῦτα Ὑπερβορέους καθήκειν εἰς τὴν ἑτέραν θάλασσαν.</w:t>
      </w:r>
    </w:p>
    <w:p>
      <w:r>
        <w:rPr>
          <w:rFonts w:ascii="Courier New" w:hAnsi="Courier New"/>
          <w:color w:val="555555"/>
          <w:sz w:val="20"/>
        </w:rPr>
        <w:t>[2]</w:t>
      </w:r>
    </w:p>
    <w:p>
      <w:r>
        <w:rPr>
          <w:rFonts w:ascii="Gentium Plus" w:hAnsi="Gentium Plus"/>
          <w:sz w:val="24"/>
        </w:rPr>
        <w:t>Strabo XIII, init., de finibus Troadis: Εὐθὺς ἐπὶ τῶν κατὰ τὴν Προποντίδα τόπων ὁ μὲν Ὅ‐ μηρος ἀπὸ τοῦ Αἰσήπου τὴν ἀρχὴν ποιεῖται τῆς Τρωά‐ δος· Εὔδοξος δὲ ἀπὸ Πριάπου καὶ Ἀρτάκης, τοῦ ἐν τῇ</w:t>
      </w:r>
    </w:p>
    <w:p>
      <w:r>
        <w:rPr>
          <w:rFonts w:ascii="Courier New" w:hAnsi="Courier New"/>
          <w:color w:val="555555"/>
          <w:sz w:val="20"/>
        </w:rPr>
        <w:t>[5]</w:t>
      </w:r>
    </w:p>
    <w:p>
      <w:r>
        <w:rPr>
          <w:rFonts w:ascii="Gentium Plus" w:hAnsi="Gentium Plus"/>
          <w:sz w:val="24"/>
        </w:rPr>
        <w:t>Κυζικηνῶν νήσῳ χωρίου ἀνταίροντος τῷ Πριάπῳ, συ‐ στέλλων ἐπ’ ἔλαττον τοὺς ὅρους· Δαμάστης δ’ ἔτι μᾶλλον συστέλλει ἀπὸ Παρίου· καὶ γὰρ οὗτος μὲν ἕως Λεκτοῦ προάγει· ἄλλοι δὲ ἄλλως.</w:t>
      </w:r>
    </w:p>
    <w:p>
      <w:r>
        <w:rPr>
          <w:rFonts w:ascii="Courier New" w:hAnsi="Courier New"/>
          <w:color w:val="555555"/>
          <w:sz w:val="20"/>
        </w:rPr>
        <w:t>[3]</w:t>
      </w:r>
    </w:p>
    <w:p>
      <w:r>
        <w:rPr>
          <w:rFonts w:ascii="Gentium Plus" w:hAnsi="Gentium Plus"/>
          <w:sz w:val="24"/>
        </w:rPr>
        <w:t>Strabo XIV, de Cypro: Τί δὲ δεῖ τῶν ποιητῶν θαυμάζειν, καὶ μάλιστα τῶν τοιούτων, οἷς ἡ πᾶσα περὶ τὴν φράσιν ἐστὶ σπουδὴ, τὰ τοῦ Δαμάστου συγκρίνοντας, ὅστις τῆς νήσου τὸ μῆκος ἀπὸ τῶν ἄρ‐</w:t>
      </w:r>
    </w:p>
    <w:p>
      <w:r>
        <w:rPr>
          <w:rFonts w:ascii="Courier New" w:hAnsi="Courier New"/>
          <w:color w:val="555555"/>
          <w:sz w:val="20"/>
        </w:rPr>
        <w:t>[5]</w:t>
      </w:r>
    </w:p>
    <w:p>
      <w:r>
        <w:rPr>
          <w:rFonts w:ascii="Gentium Plus" w:hAnsi="Gentium Plus"/>
          <w:sz w:val="24"/>
        </w:rPr>
        <w:t>κτων πρὸς μεσημβρίαν ἀποδίδωσιν, ἀπὸ Ἱεροκηπίας, ὥς φησιν, εἰς Κλεῖδας; Οὐδὲ ὁ Ἐρατοσθένης εὖ· αἰτιώ‐ μενος γὰρ τοῦτον, οὐκ ἀπ’ ἄρκτων φησὶν εἶναι τὴν Ἱερο‐ κηπίαν, ἀλλ’ ἀπὸ νότου· οὐδὲ γὰρ ἀπὸ νότου, ἀλλ’ ἀπὸ δύσεως, εἴπερ ἐν τῇ δυσμικῇ πλευρᾷ κεῖται, ἐν ᾗ καὶ</w:t>
      </w:r>
    </w:p>
    <w:p>
      <w:r>
        <w:rPr>
          <w:rFonts w:ascii="Courier New" w:hAnsi="Courier New"/>
          <w:color w:val="555555"/>
          <w:sz w:val="20"/>
        </w:rPr>
        <w:t>[10]</w:t>
      </w:r>
    </w:p>
    <w:p>
      <w:r>
        <w:rPr>
          <w:rFonts w:ascii="Gentium Plus" w:hAnsi="Gentium Plus"/>
          <w:sz w:val="24"/>
        </w:rPr>
        <w:t>ἡ Πάφος καὶ ὁ Ἀκάμας.</w:t>
      </w:r>
    </w:p>
    <w:p>
      <w:r>
        <w:rPr>
          <w:rFonts w:ascii="Courier New" w:hAnsi="Courier New"/>
          <w:color w:val="555555"/>
          <w:sz w:val="20"/>
        </w:rPr>
        <w:t>[4]</w:t>
      </w:r>
    </w:p>
    <w:p>
      <w:r>
        <w:rPr>
          <w:rFonts w:ascii="Gentium Plus" w:hAnsi="Gentium Plus"/>
          <w:sz w:val="24"/>
        </w:rPr>
        <w:t>Festus Ruf. Avienus Or. marit. 370: Sed ad columnas quidquid interfunditur undae aestuantis, stadia septem vix ait Damastes esse. Caryandaeus Scylax</w:t>
      </w:r>
    </w:p>
    <w:p>
      <w:r>
        <w:rPr>
          <w:rFonts w:ascii="Courier New" w:hAnsi="Courier New"/>
          <w:color w:val="555555"/>
          <w:sz w:val="20"/>
        </w:rPr>
        <w:t>[5]</w:t>
      </w:r>
    </w:p>
    <w:p>
      <w:r>
        <w:rPr>
          <w:rFonts w:ascii="Gentium Plus" w:hAnsi="Gentium Plus"/>
          <w:sz w:val="24"/>
        </w:rPr>
        <w:t>medium fluentem inter columnas adserit</w:t>
      </w:r>
    </w:p>
    <w:p>
      <w:r>
        <w:rPr>
          <w:rFonts w:ascii="Courier New" w:hAnsi="Courier New"/>
          <w:color w:val="555555"/>
          <w:sz w:val="20"/>
        </w:rPr>
        <w:t>[5]</w:t>
      </w:r>
    </w:p>
    <w:p>
      <w:r>
        <w:rPr>
          <w:rFonts w:ascii="Gentium Plus" w:hAnsi="Gentium Plus"/>
          <w:sz w:val="24"/>
        </w:rPr>
        <w:t>Valerius Max. VIII, 13, 6: Hellanicus vero ait, quosdam ex gente Epiorum, quae pars est Aetoliae, ducenos explere annos; eique subscribit Damastes, hoc amplius affirmans, Lictorium quendam ex his,</w:t>
      </w:r>
    </w:p>
    <w:p>
      <w:r>
        <w:rPr>
          <w:rFonts w:ascii="Courier New" w:hAnsi="Courier New"/>
          <w:color w:val="555555"/>
          <w:sz w:val="20"/>
        </w:rPr>
        <w:t>[5]</w:t>
      </w:r>
    </w:p>
    <w:p>
      <w:r>
        <w:rPr>
          <w:rFonts w:ascii="Gentium Plus" w:hAnsi="Gentium Plus"/>
          <w:sz w:val="24"/>
        </w:rPr>
        <w:t>maximarum virium staturaeque praecipuae, trecen‐ tesimum annum cumulasse.</w:t>
      </w:r>
    </w:p>
    <w:p>
      <w:r>
        <w:rPr>
          <w:rFonts w:ascii="Courier New" w:hAnsi="Courier New"/>
          <w:color w:val="555555"/>
          <w:sz w:val="20"/>
        </w:rPr>
        <w:t>[6]</w:t>
      </w:r>
    </w:p>
    <w:p>
      <w:r>
        <w:rPr>
          <w:rFonts w:ascii="Gentium Plus" w:hAnsi="Gentium Plus"/>
          <w:sz w:val="24"/>
        </w:rPr>
        <w:t>Plinius VII, 49.: Hellanicus quos‐ dam in Aetolia Epiorum gentis ducentos (sc. an‐ nos) explere. Cui adstipulatur Damastes (nonnulli libri Damiades), memorans Pictoreum ex iis prae‐</w:t>
      </w:r>
    </w:p>
    <w:p>
      <w:r>
        <w:rPr>
          <w:rFonts w:ascii="Courier New" w:hAnsi="Courier New"/>
          <w:color w:val="555555"/>
          <w:sz w:val="20"/>
        </w:rPr>
        <w:t>[5]</w:t>
      </w:r>
    </w:p>
    <w:p>
      <w:r>
        <w:rPr>
          <w:rFonts w:ascii="Gentium Plus" w:hAnsi="Gentium Plus"/>
          <w:sz w:val="24"/>
        </w:rPr>
        <w:t>cipuum corpore viribusque, etiam trecentos vixisse.</w:t>
      </w:r>
    </w:p>
    <w:p>
      <w:r>
        <w:rPr>
          <w:rFonts w:ascii="Courier New" w:hAnsi="Courier New"/>
          <w:color w:val="555555"/>
          <w:sz w:val="20"/>
        </w:rPr>
        <w:t>[t7-8]</w:t>
      </w:r>
    </w:p>
    <w:p>
      <w:r>
        <w:rPr>
          <w:rFonts w:ascii="Gentium Plus" w:hAnsi="Gentium Plus"/>
          <w:sz w:val="24"/>
        </w:rPr>
        <w:t>[ΧΡΟΝΙΚΑ.]</w:t>
      </w:r>
    </w:p>
    <w:p>
      <w:r>
        <w:rPr>
          <w:rFonts w:ascii="Courier New" w:hAnsi="Courier New"/>
          <w:color w:val="555555"/>
          <w:sz w:val="20"/>
        </w:rPr>
        <w:t>[7]</w:t>
      </w:r>
    </w:p>
    <w:p>
      <w:r>
        <w:rPr>
          <w:rFonts w:ascii="Gentium Plus" w:hAnsi="Gentium Plus"/>
          <w:sz w:val="24"/>
        </w:rPr>
        <w:t>Plutarch. Camill. c. 19: Thargelion mensis Bar‐ baris infaustus est. Eo mense Persae ad Granicum victi, καὶ Καρχηδόνιοι περὶ Σικελίαν ὑπὸ Τιμολέοντος ἡττῶντο τῇ ἑβδόμῃ φθίνοντος, περὶ ἣν δοκεῖ καὶ τὸ</w:t>
      </w:r>
    </w:p>
    <w:p>
      <w:r>
        <w:rPr>
          <w:rFonts w:ascii="Courier New" w:hAnsi="Courier New"/>
          <w:color w:val="555555"/>
          <w:sz w:val="20"/>
        </w:rPr>
        <w:t>[5]</w:t>
      </w:r>
    </w:p>
    <w:p>
      <w:r>
        <w:rPr>
          <w:rFonts w:ascii="Gentium Plus" w:hAnsi="Gentium Plus"/>
          <w:sz w:val="24"/>
        </w:rPr>
        <w:t>Ἴλιον ἁλῶναι, ὡς Ἔφορος καὶ Καλλισθένης καὶ Δα‐ μάστης καὶ Φύλαρχος ἱστορήκασιν.</w:t>
      </w:r>
    </w:p>
    <w:p>
      <w:r>
        <w:rPr>
          <w:rFonts w:ascii="Courier New" w:hAnsi="Courier New"/>
          <w:color w:val="555555"/>
          <w:sz w:val="20"/>
        </w:rPr>
        <w:t>[8]</w:t>
      </w:r>
    </w:p>
    <w:p>
      <w:r>
        <w:rPr>
          <w:rFonts w:ascii="Gentium Plus" w:hAnsi="Gentium Plus"/>
          <w:sz w:val="24"/>
        </w:rPr>
        <w:t>Dionys. Hal. A. R. I, c. 72: Ὁ τὰς ἱερείας τὰς ἐν Ἄργει καὶ τὰ καθ’ ἑκάστην πραχθέντα συναγαγὼν Αἰ‐ νείαν φησὶν ἐκ Μολοττῶν εἰς Ἰταλίαν ἐλθόντα μετ’ Ὀδυσσέως, οἰκιστὴν γενέσθαι τῆς πόλεως· ὀνομάσαι</w:t>
      </w:r>
    </w:p>
    <w:p>
      <w:r>
        <w:rPr>
          <w:rFonts w:ascii="Courier New" w:hAnsi="Courier New"/>
          <w:color w:val="555555"/>
          <w:sz w:val="20"/>
        </w:rPr>
        <w:t>[5]</w:t>
      </w:r>
    </w:p>
    <w:p>
      <w:r>
        <w:rPr>
          <w:rFonts w:ascii="Gentium Plus" w:hAnsi="Gentium Plus"/>
          <w:sz w:val="24"/>
        </w:rPr>
        <w:t>δ’ αὐτὴν ἀπὸ μιᾶς τῶν Ἰλιάδων Ῥώμης. Ταύτην δὲ λέ‐ γει ταῖς ἄλλαις Τρωάσι παρακελευσαμένην, κοινῇ μετ’ αὐτῶν ἐμπρῆσαι τὰ σκάφη, βαρυνομένην τῇ πλάνῃ. Ὁμολογεῖ δ’ αὐτῷ καὶ Δαμάστης ὁ Σιγειεὺς (vlg. Σι‐ γεύς) καὶ ἄλλοι τινές.</w:t>
      </w:r>
    </w:p>
    <w:p>
      <w:r>
        <w:rPr>
          <w:rFonts w:ascii="Courier New" w:hAnsi="Courier New"/>
          <w:color w:val="555555"/>
          <w:sz w:val="20"/>
        </w:rPr>
        <w:t>[t9]</w:t>
      </w:r>
    </w:p>
    <w:p>
      <w:r>
        <w:rPr>
          <w:rFonts w:ascii="Gentium Plus" w:hAnsi="Gentium Plus"/>
          <w:sz w:val="24"/>
        </w:rPr>
        <w:t>[ΠΕΡΙ ΕΥΡΗΜΑΤΩΝ.]</w:t>
      </w:r>
    </w:p>
    <w:p>
      <w:r>
        <w:rPr>
          <w:rFonts w:ascii="Courier New" w:hAnsi="Courier New"/>
          <w:color w:val="555555"/>
          <w:sz w:val="20"/>
        </w:rPr>
        <w:t>[9]</w:t>
      </w:r>
    </w:p>
    <w:p>
      <w:r>
        <w:rPr>
          <w:rFonts w:ascii="Gentium Plus" w:hAnsi="Gentium Plus"/>
          <w:sz w:val="24"/>
        </w:rPr>
        <w:t>Plinius H. N. VII, 57, de rerum inventoribus: Biremem Damastes Erythraeos fecisse, triremem Thucydides Aminoclem Corinthium.</w:t>
      </w:r>
    </w:p>
    <w:p>
      <w:r>
        <w:rPr>
          <w:rFonts w:ascii="Courier New" w:hAnsi="Courier New"/>
          <w:color w:val="555555"/>
          <w:sz w:val="20"/>
        </w:rPr>
        <w:t>[t10a-10b]</w:t>
      </w:r>
    </w:p>
    <w:p>
      <w:r>
        <w:rPr>
          <w:rFonts w:ascii="Gentium Plus" w:hAnsi="Gentium Plus"/>
          <w:sz w:val="24"/>
        </w:rPr>
        <w:t>ΠΕΡΙ ΠΟΙΗΤΩΝ ΚΑΙ ΣΟΦΙΣΤΩΝ.</w:t>
      </w:r>
    </w:p>
    <w:p>
      <w:r>
        <w:rPr>
          <w:rFonts w:ascii="Courier New" w:hAnsi="Courier New"/>
          <w:color w:val="555555"/>
          <w:sz w:val="20"/>
        </w:rPr>
        <w:t>[10a]</w:t>
      </w:r>
    </w:p>
    <w:p>
      <w:r>
        <w:rPr>
          <w:rFonts w:ascii="Gentium Plus" w:hAnsi="Gentium Plus"/>
          <w:sz w:val="24"/>
        </w:rPr>
        <w:t>Vit. Homer. cod. Matrit.: Ἀναξιμένης καὶ Δαμάστης καὶ Πίνδαρος Χῖον τὸν Ὅ‐ μηρον ἀποφαίνονται καὶ Θεόκριτος· ὁ δὲ Δαμάστης καὶ δέκατον αὐτὸν ἀπὸ Μουσαίου φησὶ γεγονέναι.</w:t>
      </w:r>
    </w:p>
    <w:p>
      <w:r>
        <w:rPr>
          <w:rFonts w:ascii="Courier New" w:hAnsi="Courier New"/>
          <w:color w:val="555555"/>
          <w:sz w:val="20"/>
        </w:rPr>
        <w:t>[10b]</w:t>
      </w:r>
    </w:p>
    <w:p>
      <w:r>
        <w:rPr>
          <w:rFonts w:ascii="Gentium Plus" w:hAnsi="Gentium Plus"/>
          <w:sz w:val="24"/>
        </w:rPr>
        <w:t>Proclus Vit. Hom. in Βιογρ. Wester‐ manni: Ἑλλάνικος καὶ Δαμάστης καὶ Φερεκύδης εἰς Ὀρφέα τὸ γένος παράγουσιν αὐτοῦ. Μαίονα γάρ φασι τὸν Ὁμήρου πατέρα, καὶ Δῖον τὸν Ἡσιόδου γενέσθαι</w:t>
      </w:r>
    </w:p>
    <w:p>
      <w:r>
        <w:rPr>
          <w:rFonts w:ascii="Courier New" w:hAnsi="Courier New"/>
          <w:color w:val="555555"/>
          <w:sz w:val="20"/>
        </w:rPr>
        <w:t>[5]</w:t>
      </w:r>
    </w:p>
    <w:p>
      <w:r>
        <w:rPr>
          <w:rFonts w:ascii="Gentium Plus" w:hAnsi="Gentium Plus"/>
          <w:sz w:val="24"/>
        </w:rPr>
        <w:t>Ἀπελλίδος, τοῦ Μελανωποῦ, τοῦ Ἐπιφραδέος, τοῦ Χαριφήμου, τοῦ Φιλοτερπέος, τοῦ Ἰδμονίδα, τοῦ Εὐ‐ κλέους, τοῦ Δωρίωνος, τοῦ Ὀρφέως. Γοργίας δ’ 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