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Ἐπιστολικὰ Σχήματα</w:t>
      </w:r>
      <w:r>
        <w:br/>
      </w:r>
      <w:r>
        <w:rPr>
          <w:i/>
          <w:color w:val="666666"/>
          <w:sz w:val="40"/>
        </w:rPr>
        <w:t>Epistolary Forms,Two Spurious Examples</w:t>
      </w:r>
    </w:p>
    <w:p>
      <w:pPr>
        <w:jc w:val="center"/>
      </w:pPr>
      <w:r>
        <w:rPr>
          <w:rFonts w:ascii="Times New Roman" w:hAnsi="Times New Roman"/>
          <w:color w:val="1E3A70"/>
          <w:sz w:val="32"/>
        </w:rPr>
        <w:t>Δημήτριος ὁ Περὶ Ἑρμηνείας</w:t>
      </w:r>
      <w:r>
        <w:br/>
      </w:r>
      <w:r>
        <w:rPr>
          <w:i/>
          <w:color w:val="666666"/>
          <w:sz w:val="28"/>
        </w:rPr>
        <w:t>by Demetrius On Style</w:t>
      </w:r>
    </w:p>
    <w:p/>
    <w:p>
      <w:r>
        <w:rPr>
          <w:rFonts w:ascii="Courier New" w:hAnsi="Courier New"/>
          <w:color w:val="555555"/>
          <w:sz w:val="20"/>
        </w:rPr>
        <w:t>[1]</w:t>
      </w:r>
    </w:p>
    <w:p>
      <w:r>
        <w:rPr>
          <w:rFonts w:ascii="Gentium Plus" w:hAnsi="Gentium Plus"/>
          <w:sz w:val="24"/>
        </w:rPr>
        <w:t>Ἄλλη. Μουσικόν σοι τὸ πρόσρημα, σοφώτατε. οὐ λίαν ἀπεῖναί σοι λύρα δοκεῖ. νῦν γὰρ ἡ γραφὶς μουσικὴν ἐνδείκνυ‐ ται τέχνην, ᾆσμά σοι δι’ ἡμῶν μελῳδοῦσα τὸ φίλιον σπουδῇ τε τῇ πάσῃ καὶ προθυμίᾳ τῇ πρεπούσῃ πρὸς φωνὴν ἡμετέραν προ‐</w:t>
      </w:r>
    </w:p>
    <w:p>
      <w:r>
        <w:rPr>
          <w:rFonts w:ascii="Courier New" w:hAnsi="Courier New"/>
          <w:color w:val="555555"/>
          <w:sz w:val="20"/>
        </w:rPr>
        <w:t>[5]</w:t>
      </w:r>
    </w:p>
    <w:p>
      <w:r>
        <w:rPr>
          <w:rFonts w:ascii="Gentium Plus" w:hAnsi="Gentium Plus"/>
          <w:sz w:val="24"/>
        </w:rPr>
        <w:t>θυμουμένη παιδεύειν. καὶ γὰρ ἔννομόν τε καὶ θεῖον τοὺς προ‐ εστηκότας ὑμᾶς καὶ προστήσεσθαι μέλλοντας ἀσπάζεσθαι ταῖς προσρήσεσι. διὸ πεπληρώκαμεν τὸν νόμον καὶ προσκεκυνήκαμεν ὡς ἔδει καὶ ἀντικαλοῦμεν μεμνῆσθαι μὲν ἡμῶν παρ’ ὑμῖν, γρά‐ φειν δὲ ἡμῖν ἐνθάδε. ὑπὲρ γὰρ τῆς σωτηριώδους ὑμῶν διαμο‐</w:t>
      </w:r>
    </w:p>
    <w:p>
      <w:r>
        <w:rPr>
          <w:rFonts w:ascii="Courier New" w:hAnsi="Courier New"/>
          <w:color w:val="555555"/>
          <w:sz w:val="20"/>
        </w:rPr>
        <w:t>[10]</w:t>
      </w:r>
    </w:p>
    <w:p>
      <w:r>
        <w:rPr>
          <w:rFonts w:ascii="Gentium Plus" w:hAnsi="Gentium Plus"/>
          <w:sz w:val="24"/>
        </w:rPr>
        <w:t>νῆς ὁσημέραι εὐχόμενοι εὖ ἔχειν πυνθάνεσθαι ταύτην λίαν ἔχομεν ἐρωτικῶς.</w:t>
      </w:r>
    </w:p>
    <w:p>
      <w:r>
        <w:rPr>
          <w:rFonts w:ascii="Courier New" w:hAnsi="Courier New"/>
          <w:color w:val="555555"/>
          <w:sz w:val="20"/>
        </w:rPr>
        <w:t>[2]</w:t>
      </w:r>
    </w:p>
    <w:p>
      <w:r>
        <w:rPr>
          <w:rFonts w:ascii="Gentium Plus" w:hAnsi="Gentium Plus"/>
          <w:sz w:val="24"/>
        </w:rPr>
        <w:t>Ἄλλη. Συνήθως εὔφρανας, δέσποτα, τῇ τῶν γραμμάτων διαδοχῇ σωματικὴν ἡμῖν τὴν παρουσίαν ἐπιδειξάμενος καὶ τὴν ὑμῶν ἀπουσίαν τῇ παρουσίᾳ σημάνας χαίρειν πάλιν ἀνέπλησας καὶ πάλιν εὐφραίνεσθαι. τὰ γὰρ τῆς σῆς λαμπρότητος ὑγιεινὰ</w:t>
      </w:r>
    </w:p>
    <w:p>
      <w:r>
        <w:rPr>
          <w:rFonts w:ascii="Courier New" w:hAnsi="Courier New"/>
          <w:color w:val="555555"/>
          <w:sz w:val="20"/>
        </w:rPr>
        <w:t>[5]</w:t>
      </w:r>
    </w:p>
    <w:p>
      <w:r>
        <w:rPr>
          <w:rFonts w:ascii="Gentium Plus" w:hAnsi="Gentium Plus"/>
          <w:sz w:val="24"/>
        </w:rPr>
        <w:t>γράμματα εὐφροσύνης ἡμῖν αἴτια γίνεται. ἡμῖν μὲν γάρ, δέσποτα, καὶ δοκῶν ἀπεῖναι πάρει καὶ παρὼν ἐντὸς τῶν ψυχῶν ἡμῶν δικαίως ἀναγεγραμμένος ὑπάρχεις ἀνεξαλείπτοις μνήμαις τῇ τῶν γλυκέων παίδων παρουσίᾳ καὶ τῇ τῶν χρεωστουμένων σοι ἀνάγκῃ καὶ τῇ τῶν ψυχῶν ἀρετῇ. ψυχῆς γάρ ἐστι καὶ ὀφθαλμῶν τὰ</w:t>
      </w:r>
    </w:p>
    <w:p>
      <w:r>
        <w:rPr>
          <w:rFonts w:ascii="Courier New" w:hAnsi="Courier New"/>
          <w:color w:val="555555"/>
          <w:sz w:val="20"/>
        </w:rPr>
        <w:t>[10]</w:t>
      </w:r>
    </w:p>
    <w:p>
      <w:r>
        <w:rPr>
          <w:rFonts w:ascii="Gentium Plus" w:hAnsi="Gentium Plus"/>
          <w:sz w:val="24"/>
        </w:rPr>
        <w:t>γράμματα ἑορτὴ καὶ πανήγυρις.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