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Δίνων ὁ Κολοφώνιος</w:t>
      </w:r>
      <w:r>
        <w:br/>
      </w:r>
      <w:r>
        <w:rPr>
          <w:i/>
          <w:color w:val="666666"/>
          <w:sz w:val="28"/>
        </w:rPr>
        <w:t>by Dinon Colophon</w:t>
      </w:r>
    </w:p>
    <w:p/>
    <w:p>
      <w:r>
        <w:rPr>
          <w:rFonts w:ascii="Courier New" w:hAnsi="Courier New"/>
          <w:color w:val="555555"/>
          <w:sz w:val="20"/>
        </w:rPr>
        <w:t>[t1-30]</w:t>
      </w:r>
    </w:p>
    <w:p>
      <w:r>
        <w:rPr>
          <w:rFonts w:ascii="Gentium Plus" w:hAnsi="Gentium Plus"/>
          <w:sz w:val="24"/>
        </w:rPr>
        <w:t>ΠΕΡΣΙΚΑ.</w:t>
      </w:r>
    </w:p>
    <w:p>
      <w:r>
        <w:rPr>
          <w:rFonts w:ascii="Courier New" w:hAnsi="Courier New"/>
          <w:color w:val="555555"/>
          <w:sz w:val="20"/>
        </w:rPr>
        <w:t>[t1-3]</w:t>
      </w:r>
    </w:p>
    <w:p>
      <w:r>
        <w:rPr>
          <w:rFonts w:ascii="Gentium Plus" w:hAnsi="Gentium Plus"/>
          <w:sz w:val="24"/>
        </w:rPr>
        <w:t>(ΠΡΩΤΗ ΣΥΝΤΑΞΙΣ.) ἈΣΣΥΡΙΑΚΑ.</w:t>
      </w:r>
    </w:p>
    <w:p>
      <w:r>
        <w:rPr>
          <w:rFonts w:ascii="Courier New" w:hAnsi="Courier New"/>
          <w:color w:val="555555"/>
          <w:sz w:val="20"/>
        </w:rPr>
        <w:t>[1]</w:t>
      </w:r>
    </w:p>
    <w:p>
      <w:r>
        <w:rPr>
          <w:rFonts w:ascii="Gentium Plus" w:hAnsi="Gentium Plus"/>
          <w:sz w:val="24"/>
        </w:rPr>
        <w:t>Aelian. V. H. VII, 1: Σεμίραμιν τὴν Ἀσσυρίαν ἄλλοι μὲν ἄλλως ᾄδουσιν· ὡραιοτάτη δὲ ἐγένετο γυναι‐ κῶν, εἰ καὶ ἀφελέστερον ἐχρῆτο τῷ κάλλει. Ἀφικομένη δὲ πρὸς τὸν τῶν Ἀσσυρίων βασιλέα κλητὴ, κατὰ κλέος</w:t>
      </w:r>
    </w:p>
    <w:p>
      <w:r>
        <w:rPr>
          <w:rFonts w:ascii="Courier New" w:hAnsi="Courier New"/>
          <w:color w:val="555555"/>
          <w:sz w:val="20"/>
        </w:rPr>
        <w:t>[5]</w:t>
      </w:r>
    </w:p>
    <w:p>
      <w:r>
        <w:rPr>
          <w:rFonts w:ascii="Gentium Plus" w:hAnsi="Gentium Plus"/>
          <w:sz w:val="24"/>
        </w:rPr>
        <w:t>τῆς ὥρας, ὅδε ἐντυχὼν τῇ ἀνθρώπῳ ἠράσθη αὐτῆς. Ἡ δὲ ᾔτησεν ἐκ τοῦ βασιλέως τὴν βασίλειον στολὴν λα‐ βεῖν δῶρα, καὶ πέντε ἡμερῶν τῆς Ἀσίας ἄρξαι, καὶ τὰ ἀπὸ ταύτης προσταττόμενα δρᾶσαι· καὶ οὐδὲ τῆς αἰτήσεως ἠτύχησεν. Ἐπεὶ δὲ ἐκάθισεν αὐτὴν ὁ βασι‐</w:t>
      </w:r>
    </w:p>
    <w:p>
      <w:r>
        <w:rPr>
          <w:rFonts w:ascii="Courier New" w:hAnsi="Courier New"/>
          <w:color w:val="555555"/>
          <w:sz w:val="20"/>
        </w:rPr>
        <w:t>[10]</w:t>
      </w:r>
    </w:p>
    <w:p>
      <w:r>
        <w:rPr>
          <w:rFonts w:ascii="Gentium Plus" w:hAnsi="Gentium Plus"/>
          <w:sz w:val="24"/>
        </w:rPr>
        <w:t>λεὺς ἐπὶ τοῦ θρόνου, καὶ ἔγνω διὰ χειρὸς καὶ γνώμης ἔχουσα πάντα, προσέταξε τοῖς δορυφόροις αὐτὸν τὸν βασιλέα κτεῖναι· καὶ οὕτω τὴν τῶν Ἀσσυρίων ἀρχὴν κατέσχε. Λέγει δὲ ταῦτα Δείνων.</w:t>
      </w:r>
    </w:p>
    <w:p>
      <w:r>
        <w:rPr>
          <w:rFonts w:ascii="Courier New" w:hAnsi="Courier New"/>
          <w:color w:val="555555"/>
          <w:sz w:val="20"/>
        </w:rPr>
        <w:t>[1a]</w:t>
      </w:r>
    </w:p>
    <w:p>
      <w:r>
        <w:rPr>
          <w:rFonts w:ascii="Gentium Plus" w:hAnsi="Gentium Plus"/>
          <w:sz w:val="24"/>
        </w:rPr>
        <w:t>Diodor. II, 20, 3: Κτησίας μὲν οὖν ὁ Κνίδιος περὶ Σεμιράμιδος τοιαῦθ’ ἱστόρηκεν· Ἀθήναιος δὲ καί τινες τῶν ἄλλων συγγραφέων φασὶν αὐτὴν ἑταί‐ ραν γεγονέναι εὐπρεπῆ, καὶ διὰ τὸ κάλλος ἐρωτικῶς</w:t>
      </w:r>
    </w:p>
    <w:p>
      <w:r>
        <w:rPr>
          <w:rFonts w:ascii="Courier New" w:hAnsi="Courier New"/>
          <w:color w:val="555555"/>
          <w:sz w:val="20"/>
        </w:rPr>
        <w:t>[5]</w:t>
      </w:r>
    </w:p>
    <w:p>
      <w:r>
        <w:rPr>
          <w:rFonts w:ascii="Gentium Plus" w:hAnsi="Gentium Plus"/>
          <w:sz w:val="24"/>
        </w:rPr>
        <w:t>ἔχειν αὐτῆς τὸν βασιλέα τῶν Ἀσσυρίων. Τὸ μὲν οὖν πρῶτον μετρίας αὐτὴν ἀποδοχῆς τυγχάνειν ἐν τοῖς βα‐ σιλείοις, μετὰ δὲ ταῦτα γνησίαν ἀναγορευθεῖσαν γυ‐ ναῖκα πεῖσαι τὸν βασιλέα πένθ’ ἡμέρας αὐτῇ παραχω‐ ρῆσαι τῆς βασιλείας. Τὴν δὲ Σεμίραμιν ἀναλαβοῦσαν</w:t>
      </w:r>
    </w:p>
    <w:p>
      <w:r>
        <w:rPr>
          <w:rFonts w:ascii="Courier New" w:hAnsi="Courier New"/>
          <w:color w:val="555555"/>
          <w:sz w:val="20"/>
        </w:rPr>
        <w:t>[10]</w:t>
      </w:r>
    </w:p>
    <w:p>
      <w:r>
        <w:rPr>
          <w:rFonts w:ascii="Gentium Plus" w:hAnsi="Gentium Plus"/>
          <w:sz w:val="24"/>
        </w:rPr>
        <w:t>τό τε σκῆπτρον καὶ τὴν βασίλειον στολὴν, κατὰ μὲν τὴν πρώτην ἡμέραν εὐωχίαν ποιῆσαι καὶ μεγαλοπρεπῆ δεῖπνα, ἐν οἷς τοὺς τῶν δυνάμεων ἡγεμόνας καὶ πάντας τοὺς ἐπιφανεστάτους πεῖσαι συμπράττειν ἑαυτῇ· τῇ δ’ ὑστεραίᾳ τοῦ τε πλήθους καὶ τῶν ἀξιολογωτάτων ἀν‐</w:t>
      </w:r>
    </w:p>
    <w:p>
      <w:r>
        <w:rPr>
          <w:rFonts w:ascii="Courier New" w:hAnsi="Courier New"/>
          <w:color w:val="555555"/>
          <w:sz w:val="20"/>
        </w:rPr>
        <w:t>[15]</w:t>
      </w:r>
    </w:p>
    <w:p>
      <w:r>
        <w:rPr>
          <w:rFonts w:ascii="Gentium Plus" w:hAnsi="Gentium Plus"/>
          <w:sz w:val="24"/>
        </w:rPr>
        <w:t>δρῶν ὡς βασίλισσαν θεραπευόντων, τὸν μὲν ἄνδρα καταβαλεῖν εἰς τὴν εἱρκτὴν, αὐτὴν δὲ φύσει μεγαλε‐ πίβολον οὖσαν καὶ τολμηρὰν κατασχεῖν τὴν ἀρχὴν, καὶ μέχρι γήρως βασιλεύσασαν πολλὰ καὶ μεγάλα κα‐ τεργάσασθαι.</w:t>
      </w:r>
    </w:p>
    <w:p>
      <w:r>
        <w:rPr>
          <w:rFonts w:ascii="Courier New" w:hAnsi="Courier New"/>
          <w:color w:val="555555"/>
          <w:sz w:val="20"/>
        </w:rPr>
        <w:t>[2]</w:t>
      </w:r>
    </w:p>
    <w:p>
      <w:r>
        <w:rPr>
          <w:rFonts w:ascii="Gentium Plus" w:hAnsi="Gentium Plus"/>
          <w:sz w:val="24"/>
        </w:rPr>
        <w:t>Aelianus H. A. XVII, 19: Λέγει δὲ Δείνων ἐν Αἰθιοπίᾳ γίνεσθαι τοὺς ὄρνιθας τοὺς μο‐ νοκέρως καὶ ὗς τετρακέρως καὶ πρόβατα ἐρίων μὲν</w:t>
      </w:r>
    </w:p>
    <w:p>
      <w:r>
        <w:rPr>
          <w:rFonts w:ascii="Courier New" w:hAnsi="Courier New"/>
          <w:color w:val="555555"/>
          <w:sz w:val="20"/>
        </w:rPr>
        <w:t>[3]</w:t>
      </w:r>
    </w:p>
    <w:p>
      <w:r>
        <w:rPr>
          <w:rFonts w:ascii="Gentium Plus" w:hAnsi="Gentium Plus"/>
          <w:sz w:val="24"/>
        </w:rPr>
        <w:t>Plinius H. N. X, 70: Nec Sirenes impetraverint fidem, licet affirmet Dino, Clitarchi celebrati au‐ ctoris pater, in India esse, mulcerique earum cantu, quos gravatos somno lacerent.</w:t>
      </w:r>
    </w:p>
    <w:p>
      <w:r>
        <w:rPr>
          <w:rFonts w:ascii="Courier New" w:hAnsi="Courier New"/>
          <w:color w:val="555555"/>
          <w:sz w:val="20"/>
        </w:rPr>
        <w:t>[t4-7]</w:t>
      </w:r>
    </w:p>
    <w:p>
      <w:r>
        <w:rPr>
          <w:rFonts w:ascii="Gentium Plus" w:hAnsi="Gentium Plus"/>
          <w:sz w:val="24"/>
        </w:rPr>
        <w:t>ΔΕΥΤΕΡΑ ΣΥΝΤΑΞΙΣ. ΜΗΔΙΚΑ.</w:t>
      </w:r>
    </w:p>
    <w:p>
      <w:r>
        <w:rPr>
          <w:rFonts w:ascii="Courier New" w:hAnsi="Courier New"/>
          <w:color w:val="555555"/>
          <w:sz w:val="20"/>
        </w:rPr>
        <w:t>[4 (t)]</w:t>
      </w:r>
    </w:p>
    <w:p>
      <w:pPr>
        <w:jc w:val="center"/>
      </w:pPr>
      <w:r>
        <w:rPr>
          <w:rFonts w:ascii="Gentium Plus" w:hAnsi="Gentium Plus"/>
          <w:b/>
          <w:sz w:val="24"/>
        </w:rPr>
        <w:t>E LIBRO SECUNDO.</w:t>
      </w:r>
    </w:p>
    <w:p>
      <w:r>
        <w:rPr>
          <w:rFonts w:ascii="Courier New" w:hAnsi="Courier New"/>
          <w:color w:val="555555"/>
          <w:sz w:val="20"/>
        </w:rPr>
        <w:t>[1]</w:t>
      </w:r>
    </w:p>
    <w:p>
      <w:r>
        <w:rPr>
          <w:rFonts w:ascii="Gentium Plus" w:hAnsi="Gentium Plus"/>
          <w:sz w:val="24"/>
        </w:rPr>
        <w:t>Suidas [Οὐδὲ Ἡρακλῆς πρὸς δύο.] Τοὺς [γὰρ] Μολιονίδας ἔφυγε. Δείνων δὲ ἐν δευτέρῳ τῆς δευτέρας συντάξεως Ἡρακλέα τὸν Ἰδαῖον Δάκτυλον, καταδεί‐ ξαντα τὰ Ὀλύμπια, πρὸς δύο διαπυκτεύσαντα ἡττη‐</w:t>
      </w:r>
    </w:p>
    <w:p>
      <w:r>
        <w:rPr>
          <w:rFonts w:ascii="Courier New" w:hAnsi="Courier New"/>
          <w:color w:val="555555"/>
          <w:sz w:val="20"/>
        </w:rPr>
        <w:t>[5]</w:t>
      </w:r>
    </w:p>
    <w:p>
      <w:r>
        <w:rPr>
          <w:rFonts w:ascii="Gentium Plus" w:hAnsi="Gentium Plus"/>
          <w:sz w:val="24"/>
        </w:rPr>
        <w:t>θῆναι.</w:t>
      </w:r>
    </w:p>
    <w:p>
      <w:r>
        <w:rPr>
          <w:rFonts w:ascii="Courier New" w:hAnsi="Courier New"/>
          <w:color w:val="555555"/>
          <w:sz w:val="20"/>
        </w:rPr>
        <w:t>[5 (t)]</w:t>
      </w:r>
    </w:p>
    <w:p>
      <w:pPr>
        <w:jc w:val="center"/>
      </w:pPr>
      <w:r>
        <w:rPr>
          <w:rFonts w:ascii="Gentium Plus" w:hAnsi="Gentium Plus"/>
          <w:b/>
          <w:sz w:val="24"/>
        </w:rPr>
        <w:t>E LIBRO QUINTO.</w:t>
      </w:r>
    </w:p>
    <w:p>
      <w:r>
        <w:rPr>
          <w:rFonts w:ascii="Courier New" w:hAnsi="Courier New"/>
          <w:color w:val="555555"/>
          <w:sz w:val="20"/>
        </w:rPr>
        <w:t>[1]</w:t>
      </w:r>
    </w:p>
    <w:p>
      <w:r>
        <w:rPr>
          <w:rFonts w:ascii="Gentium Plus" w:hAnsi="Gentium Plus"/>
          <w:sz w:val="24"/>
        </w:rPr>
        <w:t>Diogenes Laert. I, 8: Τὴν δὲ γοητικὴν μαντείαν οὐδ’ ἔγνωσαν, ὡς φησὶν Ἀριστοτέλης ἐν τῷ Μαγικῷ καὶ Δείνων ἐν τῇ πέμπτῃ τῶν ἱστοριῶν, ὃς καὶ μεθερμηνευόμενόν φησι τὸν Ζωροάστρην ἀστροθύτην</w:t>
      </w:r>
    </w:p>
    <w:p>
      <w:r>
        <w:rPr>
          <w:rFonts w:ascii="Courier New" w:hAnsi="Courier New"/>
          <w:color w:val="555555"/>
          <w:sz w:val="20"/>
        </w:rPr>
        <w:t>[5]</w:t>
      </w:r>
    </w:p>
    <w:p>
      <w:r>
        <w:rPr>
          <w:rFonts w:ascii="Gentium Plus" w:hAnsi="Gentium Plus"/>
          <w:sz w:val="24"/>
        </w:rPr>
        <w:t>εἶναι· φησὶ δὲ τοῦτο καὶ Ἑρμόδωρος.</w:t>
      </w:r>
    </w:p>
    <w:p>
      <w:r>
        <w:rPr>
          <w:rFonts w:ascii="Courier New" w:hAnsi="Courier New"/>
          <w:color w:val="555555"/>
          <w:sz w:val="20"/>
        </w:rPr>
        <w:t>[6]</w:t>
      </w:r>
    </w:p>
    <w:p>
      <w:r>
        <w:rPr>
          <w:rFonts w:ascii="Gentium Plus" w:hAnsi="Gentium Plus"/>
          <w:sz w:val="24"/>
        </w:rPr>
        <w:t>Idem IX, 50: Πρωταγόρας Ἀρτέμωνος, ἢ, ὡς Ἀπολλόδωρος καὶ Δίνων ἐν τοῖς Περσικοῖς, Μαιανδρίου.</w:t>
      </w:r>
    </w:p>
    <w:p>
      <w:r>
        <w:rPr>
          <w:rFonts w:ascii="Courier New" w:hAnsi="Courier New"/>
          <w:color w:val="555555"/>
          <w:sz w:val="20"/>
        </w:rPr>
        <w:t>[7]</w:t>
      </w:r>
    </w:p>
    <w:p>
      <w:r>
        <w:rPr>
          <w:rFonts w:ascii="Gentium Plus" w:hAnsi="Gentium Plus"/>
          <w:sz w:val="24"/>
        </w:rPr>
        <w:t>Athenaeus XIV: Ὅμηρος γοῦν φησιν ἐπ’ Ἀχιλλέως· «Ἄειδε δ’ ἄρα κλέα ἀνδρῶν ἡρώων·» καὶ τὸν Φήμιον δέ φησιν, ὅτι πολλὰ βροτῶν θελκτήρια οἶδεν,</w:t>
      </w:r>
    </w:p>
    <w:p>
      <w:r>
        <w:rPr>
          <w:rFonts w:ascii="Courier New" w:hAnsi="Courier New"/>
          <w:color w:val="555555"/>
          <w:sz w:val="20"/>
        </w:rPr>
        <w:t>[5]</w:t>
      </w:r>
    </w:p>
    <w:p>
      <w:r>
        <w:rPr>
          <w:rFonts w:ascii="Gentium Plus" w:hAnsi="Gentium Plus"/>
          <w:sz w:val="24"/>
        </w:rPr>
        <w:t>ἔργ’ ἀνδρῶν τε θεῶν τε, τά τε κλείουσιν ἀοιδοί. Τὸ δὲ ἔθος τοῦτο καὶ παρὰ τοῖς βαρβάροις ἐσώζετο, ὥς φησι Δείνων ἐν τοῖς Περσικοῖς. Τὴν γοῦν Κύρου</w:t>
      </w:r>
    </w:p>
    <w:p>
      <w:r>
        <w:rPr>
          <w:rFonts w:ascii="Courier New" w:hAnsi="Courier New"/>
          <w:color w:val="555555"/>
          <w:sz w:val="20"/>
        </w:rPr>
        <w:t>[10]</w:t>
      </w:r>
    </w:p>
    <w:p>
      <w:r>
        <w:rPr>
          <w:rFonts w:ascii="Gentium Plus" w:hAnsi="Gentium Plus"/>
          <w:sz w:val="24"/>
        </w:rPr>
        <w:t>(φησὶν) ἡγήσατο τὴν εἰς Πέρσας ἀποδημίαν ὁ Κῦρος· ἐγεγόνει δ’ αὐτοῦ πρότερον ἐπὶ τῶν ῥαβδοφόρων, εἶθ’ ὕστερον ἐπὶ τῶν ὁπλοφόρων, καὶ ἀπῆλθεν· εὐωχουμέ‐ νου οὖν τοῦ Ἀστυάγους μετὰ τῶν φίλων, τότε Ἀγγάρης ὄνομα, (οὗτος δ’ ἦν τῶν ᾠδῶν ὁ ἐνδοξότατος,) ᾖδεν</w:t>
      </w:r>
    </w:p>
    <w:p>
      <w:r>
        <w:rPr>
          <w:rFonts w:ascii="Courier New" w:hAnsi="Courier New"/>
          <w:color w:val="555555"/>
          <w:sz w:val="20"/>
        </w:rPr>
        <w:t>[15]</w:t>
      </w:r>
    </w:p>
    <w:p>
      <w:r>
        <w:rPr>
          <w:rFonts w:ascii="Gentium Plus" w:hAnsi="Gentium Plus"/>
          <w:sz w:val="24"/>
        </w:rPr>
        <w:t>εἰσκληθεὶς τά τε ἄλλα τῶν εἰθισμένων, καὶ τὸ ἔσχατον εἶπεν, ὡς ἀφεῖται εἰς τὸ ἕλος θηρίον μέγα, θρασύτερον ὑὸς ἀγρίου· ὃ ἂν κυριεύσῃ τῶν καθ’ αὑτὸν τόπων, πολ‐ λοῖς μετ’ ὀλίγον ῥᾳδίως μαχεῖται. Ἐρομένου δὲ τοῦ Ἀστυάγους, ποῖον θηρίον; ἔφη Κῦρον τὸν Πέρσην.</w:t>
      </w:r>
    </w:p>
    <w:p>
      <w:r>
        <w:rPr>
          <w:rFonts w:ascii="Courier New" w:hAnsi="Courier New"/>
          <w:color w:val="555555"/>
          <w:sz w:val="20"/>
        </w:rPr>
        <w:t>[20]</w:t>
      </w:r>
    </w:p>
    <w:p>
      <w:r>
        <w:rPr>
          <w:rFonts w:ascii="Gentium Plus" w:hAnsi="Gentium Plus"/>
          <w:sz w:val="24"/>
        </w:rPr>
        <w:t>Νομίσας οὖν ὀρθῶς αὐτὸν ὑπωπτευκέναι, καὶ μετα‐ πεμπόμενος οὐδὲν ὤνησεν.»</w:t>
      </w:r>
    </w:p>
    <w:p>
      <w:r>
        <w:rPr>
          <w:rFonts w:ascii="Courier New" w:hAnsi="Courier New"/>
          <w:color w:val="555555"/>
          <w:sz w:val="20"/>
        </w:rPr>
        <w:t>[t8-30]</w:t>
      </w:r>
    </w:p>
    <w:p>
      <w:r>
        <w:rPr>
          <w:rFonts w:ascii="Gentium Plus" w:hAnsi="Gentium Plus"/>
          <w:sz w:val="24"/>
        </w:rPr>
        <w:t>ΤΡΙΤΗ ΣΥΝΤΑΞΙΣ. ΠΕΡΣΙΚΑ.</w:t>
      </w:r>
    </w:p>
    <w:p>
      <w:r>
        <w:rPr>
          <w:rFonts w:ascii="Courier New" w:hAnsi="Courier New"/>
          <w:color w:val="555555"/>
          <w:sz w:val="20"/>
        </w:rPr>
        <w:t>[8 (t)]</w:t>
      </w:r>
    </w:p>
    <w:p>
      <w:pPr>
        <w:jc w:val="center"/>
      </w:pPr>
      <w:r>
        <w:rPr>
          <w:rFonts w:ascii="Gentium Plus" w:hAnsi="Gentium Plus"/>
          <w:b/>
          <w:sz w:val="24"/>
        </w:rPr>
        <w:t>E LIBRO PRIMO.</w:t>
      </w:r>
    </w:p>
    <w:p>
      <w:r>
        <w:rPr>
          <w:rFonts w:ascii="Courier New" w:hAnsi="Courier New"/>
          <w:color w:val="555555"/>
          <w:sz w:val="20"/>
        </w:rPr>
        <w:t>[1]</w:t>
      </w:r>
    </w:p>
    <w:p>
      <w:r>
        <w:rPr>
          <w:rFonts w:ascii="Gentium Plus" w:hAnsi="Gentium Plus"/>
          <w:sz w:val="24"/>
        </w:rPr>
        <w:t>Schol. Nicandr. Ther. 613: Μάγοι δὲ καὶ Σκύ‐ θαι μυρικίνῳ μαντεύονται ξύλῳ· καὶ γὰρ ἐν πολλοῖς τόποις ῥάβδοις μαντεύονται. Δείνων δὲ ἐν τῷ πρώτῳ τῆς τρίτης συντάξεως καὶ τοὺς μάντεις φησὶ Μήδους</w:t>
      </w:r>
    </w:p>
    <w:p>
      <w:r>
        <w:rPr>
          <w:rFonts w:ascii="Courier New" w:hAnsi="Courier New"/>
          <w:color w:val="555555"/>
          <w:sz w:val="20"/>
        </w:rPr>
        <w:t>[5]</w:t>
      </w:r>
    </w:p>
    <w:p>
      <w:r>
        <w:rPr>
          <w:rFonts w:ascii="Gentium Plus" w:hAnsi="Gentium Plus"/>
          <w:sz w:val="24"/>
        </w:rPr>
        <w:t>ῥάβδοις μαντεύεσθαι.</w:t>
      </w:r>
    </w:p>
    <w:p>
      <w:r>
        <w:rPr>
          <w:rFonts w:ascii="Courier New" w:hAnsi="Courier New"/>
          <w:color w:val="555555"/>
          <w:sz w:val="20"/>
        </w:rPr>
        <w:t>[9]</w:t>
      </w:r>
    </w:p>
    <w:p>
      <w:r>
        <w:rPr>
          <w:rFonts w:ascii="Gentium Plus" w:hAnsi="Gentium Plus"/>
          <w:sz w:val="24"/>
        </w:rPr>
        <w:t>Clem. Alex. Protr. I, c. 5.: Θύειν ἐν ὑπαίθρῳ τούτους (sc. τοὺς Πέρσας καὶ τοὺς Μήδους καὶ τοὺς μάγους) ὁ Δείνων λέγει, θεῶν ἀγάλματα μόνα τὸ πῦρ καὶ τὸ ὕδωρ νομίζοντας.</w:t>
      </w:r>
    </w:p>
    <w:p>
      <w:r>
        <w:rPr>
          <w:rFonts w:ascii="Courier New" w:hAnsi="Courier New"/>
          <w:color w:val="555555"/>
          <w:sz w:val="20"/>
        </w:rPr>
        <w:t>[10]</w:t>
      </w:r>
    </w:p>
    <w:p>
      <w:r>
        <w:rPr>
          <w:rFonts w:ascii="Gentium Plus" w:hAnsi="Gentium Plus"/>
          <w:sz w:val="24"/>
        </w:rPr>
        <w:t>Cicero De divinat. I, c. 23: Quid ego quae Magi Cyro illi principi interpretati sunt, ex Dinonis Per‐ sicis [libris] proferam? Nam quum dormienti ei sol ad pedes visus esset, ter eum, scribit, fru‐</w:t>
      </w:r>
    </w:p>
    <w:p>
      <w:r>
        <w:rPr>
          <w:rFonts w:ascii="Courier New" w:hAnsi="Courier New"/>
          <w:color w:val="555555"/>
          <w:sz w:val="20"/>
        </w:rPr>
        <w:t>[5]</w:t>
      </w:r>
    </w:p>
    <w:p>
      <w:r>
        <w:rPr>
          <w:rFonts w:ascii="Gentium Plus" w:hAnsi="Gentium Plus"/>
          <w:sz w:val="24"/>
        </w:rPr>
        <w:t>stra appetivisse manibus, quum se convolvens sol elaberetur et abiret: ei Magos dixisse (quod genus sapientum et doctorum habebatur in Persis) ex tri‐ plici appetitione solis, triginta annos Cyrum re‐ gnaturum esse portendi. Quod ita contigit. Nam</w:t>
      </w:r>
    </w:p>
    <w:p>
      <w:r>
        <w:rPr>
          <w:rFonts w:ascii="Courier New" w:hAnsi="Courier New"/>
          <w:color w:val="555555"/>
          <w:sz w:val="20"/>
        </w:rPr>
        <w:t>[10]</w:t>
      </w:r>
    </w:p>
    <w:p>
      <w:r>
        <w:rPr>
          <w:rFonts w:ascii="Gentium Plus" w:hAnsi="Gentium Plus"/>
          <w:sz w:val="24"/>
        </w:rPr>
        <w:t>ad septuagesimum pervenit, quum quadraginta na‐ tus annos regnare coepisset.</w:t>
      </w:r>
    </w:p>
    <w:p>
      <w:r>
        <w:rPr>
          <w:rFonts w:ascii="Courier New" w:hAnsi="Courier New"/>
          <w:color w:val="555555"/>
          <w:sz w:val="20"/>
        </w:rPr>
        <w:t>[11]</w:t>
      </w:r>
    </w:p>
    <w:p>
      <w:r>
        <w:rPr>
          <w:rFonts w:ascii="Gentium Plus" w:hAnsi="Gentium Plus"/>
          <w:sz w:val="24"/>
        </w:rPr>
        <w:t>Athenaeus XIII: Δείνων δ’ ἐν τοῖς Περ‐ σικοῖς, καὶ Λυκέας ὁ Ναυκρατίτης ἐν τρίτῃ Αἰγυπτια‐ κῶν, τὴν Νειτῆτιν Κύρῳ πεμφθῆναί φασιν ὑπὸ Ἀμά‐ σιδος· ἐξ ἧς γεννηθῆναι τὸν Καμβύσην, ὃν ἐκδικοῦντα</w:t>
      </w:r>
    </w:p>
    <w:p>
      <w:r>
        <w:rPr>
          <w:rFonts w:ascii="Courier New" w:hAnsi="Courier New"/>
          <w:color w:val="555555"/>
          <w:sz w:val="20"/>
        </w:rPr>
        <w:t>[5]</w:t>
      </w:r>
    </w:p>
    <w:p>
      <w:r>
        <w:rPr>
          <w:rFonts w:ascii="Gentium Plus" w:hAnsi="Gentium Plus"/>
          <w:sz w:val="24"/>
        </w:rPr>
        <w:t>τῇ μητρὶ ἐπ’ Αἴγυπτον ποιήσασθαι στρατείαν.</w:t>
      </w:r>
    </w:p>
    <w:p>
      <w:r>
        <w:rPr>
          <w:rFonts w:ascii="Courier New" w:hAnsi="Courier New"/>
          <w:color w:val="555555"/>
          <w:sz w:val="20"/>
        </w:rPr>
        <w:t>[12]</w:t>
      </w:r>
    </w:p>
    <w:p>
      <w:r>
        <w:rPr>
          <w:rFonts w:ascii="Gentium Plus" w:hAnsi="Gentium Plus"/>
          <w:sz w:val="24"/>
        </w:rPr>
        <w:t>Athenaeus XIV: Σφόδρα τῶν ἰσχάδων ἐθαυμάζοντο αἱ Ἀττικαί. Δείνων γοῦν ἐν τοῖς Περσι‐ κοῖς φησι· «Παρετίθεντο δ’ ἐπὶ τῆς τραπέζης τῆς βα‐ σιλέως ὅσα ἡ γῆ βρώματα φέρει, ἧς ἄρχει βασιλεὺς,</w:t>
      </w:r>
    </w:p>
    <w:p>
      <w:r>
        <w:rPr>
          <w:rFonts w:ascii="Courier New" w:hAnsi="Courier New"/>
          <w:color w:val="555555"/>
          <w:sz w:val="20"/>
        </w:rPr>
        <w:t>[5]</w:t>
      </w:r>
    </w:p>
    <w:p>
      <w:r>
        <w:rPr>
          <w:rFonts w:ascii="Gentium Plus" w:hAnsi="Gentium Plus"/>
          <w:sz w:val="24"/>
        </w:rPr>
        <w:t>ἀφ’ ἑκάστου ὅσον ἀπαρχήν. Ξενικῷ δὲ οὐδενὶ οὔτε βρώματι οὔτε ποτῷ ᾤετο δεῖν ὁ Ξέρξης τοὺς βασιλεῖς χρῆσθαι· ὅθεν καὶ νόμος τις ὕστερον ἐγένετο. Εἰσενέγ‐</w:t>
      </w:r>
    </w:p>
    <w:p>
      <w:r>
        <w:rPr>
          <w:rFonts w:ascii="Courier New" w:hAnsi="Courier New"/>
          <w:color w:val="555555"/>
          <w:sz w:val="20"/>
        </w:rPr>
        <w:t>[10]</w:t>
      </w:r>
    </w:p>
    <w:p>
      <w:r>
        <w:rPr>
          <w:rFonts w:ascii="Gentium Plus" w:hAnsi="Gentium Plus"/>
          <w:sz w:val="24"/>
        </w:rPr>
        <w:t>τραγήμασιν ἰσχάδας Ἀττικὰς, ἐρωτῆσαι, ποδαπαὶ εἶεν. Ἐπεὶ δὲ ἐπύθετο ἐξ Ἀθηνῶν, τοῖς ἀγορασταῖς ἐκέλευεν ὠνεῖσθαι, ἕως ἂν ἐξουσία γένηται αὑτῷ λαμβάνειν ὅταν ἐθέλῃ, καὶ μὴ ἀγορά‐ ζειν. Λέγεται δὲ τὸν εὐνοῦχον ἐπίτηδες τοῦτο ποιῆσαι,</w:t>
      </w:r>
    </w:p>
    <w:p>
      <w:r>
        <w:rPr>
          <w:rFonts w:ascii="Courier New" w:hAnsi="Courier New"/>
          <w:color w:val="555555"/>
          <w:sz w:val="20"/>
        </w:rPr>
        <w:t>[15]</w:t>
      </w:r>
    </w:p>
    <w:p>
      <w:r>
        <w:rPr>
          <w:rFonts w:ascii="Gentium Plus" w:hAnsi="Gentium Plus"/>
          <w:sz w:val="24"/>
        </w:rPr>
        <w:t>ἵνα αὐτὸν ὑπομνήσῃ τῆς ἐπὶ τὰς Ἀθήνας στρατείας.»</w:t>
      </w:r>
    </w:p>
    <w:p>
      <w:r>
        <w:rPr>
          <w:rFonts w:ascii="Courier New" w:hAnsi="Courier New"/>
          <w:color w:val="555555"/>
          <w:sz w:val="20"/>
        </w:rPr>
        <w:t>[13]</w:t>
      </w:r>
    </w:p>
    <w:p>
      <w:r>
        <w:rPr>
          <w:rFonts w:ascii="Gentium Plus" w:hAnsi="Gentium Plus"/>
          <w:sz w:val="24"/>
        </w:rPr>
        <w:t>Schol. Theocrit. II, 107: Ὅτι δὲ αἱ Ἀττικαὶ ἰσχάδες ἡδεῖαι, καὶ Δείνων μαρτυρεῖ.</w:t>
      </w:r>
    </w:p>
    <w:p>
      <w:r>
        <w:rPr>
          <w:rFonts w:ascii="Courier New" w:hAnsi="Courier New"/>
          <w:color w:val="555555"/>
          <w:sz w:val="20"/>
        </w:rPr>
        <w:t>[14 (t)]</w:t>
      </w:r>
    </w:p>
    <w:p>
      <w:pPr>
        <w:jc w:val="center"/>
      </w:pPr>
      <w:r>
        <w:rPr>
          <w:rFonts w:ascii="Gentium Plus" w:hAnsi="Gentium Plus"/>
          <w:b/>
          <w:sz w:val="24"/>
        </w:rPr>
        <w:t>E LIBRO TERTIO.</w:t>
      </w:r>
    </w:p>
    <w:p>
      <w:r>
        <w:rPr>
          <w:rFonts w:ascii="Courier New" w:hAnsi="Courier New"/>
          <w:color w:val="555555"/>
          <w:sz w:val="20"/>
        </w:rPr>
        <w:t>[1]</w:t>
      </w:r>
    </w:p>
    <w:p>
      <w:r>
        <w:rPr>
          <w:rFonts w:ascii="Gentium Plus" w:hAnsi="Gentium Plus"/>
          <w:sz w:val="24"/>
        </w:rPr>
        <w:t>Athenaeus XI: Δείνων ἐν τρίτῳ Περσι‐ κῶν φησὶν οὕτως· «Ἔστι δὲ ποτίβαζις, ἄρτος κρίθι‐ νος καὶ πύρινος ὀπτὸς, καὶ κυπαρίσσου στέφανος, καὶ οἶνος κεκραμένος ἐν ᾠῷ χρυσῷ, οὗ αὐτὸς βασιλεὺς</w:t>
      </w:r>
    </w:p>
    <w:p>
      <w:r>
        <w:rPr>
          <w:rFonts w:ascii="Courier New" w:hAnsi="Courier New"/>
          <w:color w:val="555555"/>
          <w:sz w:val="20"/>
        </w:rPr>
        <w:t>[5]</w:t>
      </w:r>
    </w:p>
    <w:p>
      <w:r>
        <w:rPr>
          <w:rFonts w:ascii="Gentium Plus" w:hAnsi="Gentium Plus"/>
          <w:sz w:val="24"/>
        </w:rPr>
        <w:t>πίνει.»</w:t>
      </w:r>
    </w:p>
    <w:p>
      <w:r>
        <w:rPr>
          <w:rFonts w:ascii="Courier New" w:hAnsi="Courier New"/>
          <w:color w:val="555555"/>
          <w:sz w:val="20"/>
        </w:rPr>
        <w:t>[15]</w:t>
      </w:r>
    </w:p>
    <w:p>
      <w:r>
        <w:rPr>
          <w:rFonts w:ascii="Gentium Plus" w:hAnsi="Gentium Plus"/>
          <w:sz w:val="24"/>
        </w:rPr>
        <w:t>Athenaeus II: Κτησίας δ’ ἐν Καρμανίᾳ φησὶ γίνεσθαι ἔλαιον ἀκάνθινον, ᾧ χρῆσθαι βασιλέα· ὃς καὶ καταλέγων ἐν τῷ περὶ τῶν κατὰ τὴν Ἀσίαν φό‐ ρων τρίτῳ βιβλίῳ πάντα τὰ τῷ βασιλεῖ παρασκευα‐</w:t>
      </w:r>
    </w:p>
    <w:p>
      <w:r>
        <w:rPr>
          <w:rFonts w:ascii="Courier New" w:hAnsi="Courier New"/>
          <w:color w:val="555555"/>
          <w:sz w:val="20"/>
        </w:rPr>
        <w:t>[5]</w:t>
      </w:r>
    </w:p>
    <w:p>
      <w:r>
        <w:rPr>
          <w:rFonts w:ascii="Gentium Plus" w:hAnsi="Gentium Plus"/>
          <w:sz w:val="24"/>
        </w:rPr>
        <w:t>ζόμενα ἐπὶ τὸ δεῖπνον οὔτε πεπέρεως μέμνηται οὔτε ὄξους, ὃ μόνον ἄριστόν ἐστι τῶν ἡδυσμάτων. Ἀλλὰ μὴν οὐδὲ Δείνων ἐν τῇ Περσικῇ πραγματείᾳ· ὅς γέ φησι καὶ ἅλα Ἀμμωνιακὸν ἀπ’ Αἰγύπτου ἀναπέμ‐ πεσθαι βασιλεῖ, καὶ ὕδωρ ἐκ τοῦ Νείλου.</w:t>
      </w:r>
    </w:p>
    <w:p>
      <w:r>
        <w:rPr>
          <w:rFonts w:ascii="Courier New" w:hAnsi="Courier New"/>
          <w:color w:val="555555"/>
          <w:sz w:val="20"/>
        </w:rPr>
        <w:t>[16]</w:t>
      </w:r>
    </w:p>
    <w:p>
      <w:r>
        <w:rPr>
          <w:rFonts w:ascii="Gentium Plus" w:hAnsi="Gentium Plus"/>
          <w:sz w:val="24"/>
        </w:rPr>
        <w:t>Plutarch. Alex. c. 36: Δείνων δέ φησι καὶ ὕδωρ ἀπό τε τοῦ Νείλου καὶ τοῦ Ἴστρου μετὰ τῶν ἄλλων μεταπεμπομένους εἰς τὴν γάζαν ἀποτίθεσθαι τοὺς βα‐ σιλεῖς, οἷον ἐκβεβαιουμένους τὸ μέγεθος τῆς ἀρχῆς</w:t>
      </w:r>
    </w:p>
    <w:p>
      <w:r>
        <w:rPr>
          <w:rFonts w:ascii="Courier New" w:hAnsi="Courier New"/>
          <w:color w:val="555555"/>
          <w:sz w:val="20"/>
        </w:rPr>
        <w:t>[5]</w:t>
      </w:r>
    </w:p>
    <w:p>
      <w:r>
        <w:rPr>
          <w:rFonts w:ascii="Gentium Plus" w:hAnsi="Gentium Plus"/>
          <w:sz w:val="24"/>
        </w:rPr>
        <w:t>καὶ τὸ κυριεύειν ἁπάντων.</w:t>
      </w:r>
    </w:p>
    <w:p>
      <w:r>
        <w:rPr>
          <w:rFonts w:ascii="Courier New" w:hAnsi="Courier New"/>
          <w:color w:val="555555"/>
          <w:sz w:val="20"/>
        </w:rPr>
        <w:t>[17]</w:t>
      </w:r>
    </w:p>
    <w:p>
      <w:r>
        <w:rPr>
          <w:rFonts w:ascii="Gentium Plus" w:hAnsi="Gentium Plus"/>
          <w:sz w:val="24"/>
        </w:rPr>
        <w:t>Athenaeus XIII: Παρὰ δὲ Πέρσαις ἀνέ‐ χεται ἡ βασίλεια τοῦ πλήθους τῶν παλλακίδων, διὰ τὸ ὡς δεσπότην ἄρχειν τῆς γαμετῆς τὸν βασιλέα, ἔτι δὲ καὶ διὰ τὸ τὴν βασιλίδα, ὥς φησι Δείνων ἐν τοῖς</w:t>
      </w:r>
    </w:p>
    <w:p>
      <w:r>
        <w:rPr>
          <w:rFonts w:ascii="Courier New" w:hAnsi="Courier New"/>
          <w:color w:val="555555"/>
          <w:sz w:val="20"/>
        </w:rPr>
        <w:t>[5]</w:t>
      </w:r>
    </w:p>
    <w:p>
      <w:r>
        <w:rPr>
          <w:rFonts w:ascii="Gentium Plus" w:hAnsi="Gentium Plus"/>
          <w:sz w:val="24"/>
        </w:rPr>
        <w:t>Περσικοῖς, ὑπὸ τῶν παλλακίδων θρησκεύεσθαι· προσ‐ κυνοῦσι γοῦν αὐτήν.</w:t>
      </w:r>
    </w:p>
    <w:p>
      <w:r>
        <w:rPr>
          <w:rFonts w:ascii="Courier New" w:hAnsi="Courier New"/>
          <w:color w:val="555555"/>
          <w:sz w:val="20"/>
        </w:rPr>
        <w:t>[18]</w:t>
      </w:r>
    </w:p>
    <w:p>
      <w:r>
        <w:rPr>
          <w:rFonts w:ascii="Gentium Plus" w:hAnsi="Gentium Plus"/>
          <w:sz w:val="24"/>
        </w:rPr>
        <w:t>Athenaeus XII: Καὶ τὸ παράσημον δὲ, ὃ ἐπετίθεντο τῇ κεφαλῇ οἱ τῶν Περσῶν βασιλεῖς, οὐδ’ αὐτὸ ἠρνεῖτο τὴν τῆς ἡδυπαθείας ἀπόλαυσιν. Κατε‐ σκευάζετο γὰρ, ὥς φησι Δείνων, ἐκ σμύρνης καὶ τοῦ</w:t>
      </w:r>
    </w:p>
    <w:p>
      <w:r>
        <w:rPr>
          <w:rFonts w:ascii="Courier New" w:hAnsi="Courier New"/>
          <w:color w:val="555555"/>
          <w:sz w:val="20"/>
        </w:rPr>
        <w:t>[5]</w:t>
      </w:r>
    </w:p>
    <w:p>
      <w:r>
        <w:rPr>
          <w:rFonts w:ascii="Gentium Plus" w:hAnsi="Gentium Plus"/>
          <w:sz w:val="24"/>
        </w:rPr>
        <w:t>καλουμένου λαβύζου. Εὐώδης δ’ ἐστὶν ἡ λάβυζος, καὶ πολυτιμότερον τῆς σμύρνης. Ὁπότε δὲ καὶ ἀπὸ τοῦ ἅρματος κατίοι, φησὶ, βασιλεὺς, οὔτε καθήλλετο ὀλί‐ γου ὄντος ἐπὶ τὴν γῆν τοῦ ὕψους, οὔτε διὰ χειρῶν ἐρει‐ δόμενος, ἀλλ’ ἀεὶ αὐτῷ χρυσοῦς δίφρος ἐτίθετο, καὶ</w:t>
      </w:r>
    </w:p>
    <w:p>
      <w:r>
        <w:rPr>
          <w:rFonts w:ascii="Courier New" w:hAnsi="Courier New"/>
          <w:color w:val="555555"/>
          <w:sz w:val="20"/>
        </w:rPr>
        <w:t>[10]</w:t>
      </w:r>
    </w:p>
    <w:p>
      <w:r>
        <w:rPr>
          <w:rFonts w:ascii="Gentium Plus" w:hAnsi="Gentium Plus"/>
          <w:sz w:val="24"/>
        </w:rPr>
        <w:t>τούτῳ ἐπιβαίνων κατῄει· καὶ ὁ βασιλέως διφροφόρος</w:t>
      </w:r>
    </w:p>
    <w:p>
      <w:r>
        <w:rPr>
          <w:rFonts w:ascii="Courier New" w:hAnsi="Courier New"/>
          <w:color w:val="555555"/>
          <w:sz w:val="20"/>
        </w:rPr>
        <w:t>[19]</w:t>
      </w:r>
    </w:p>
    <w:p>
      <w:r>
        <w:rPr>
          <w:rFonts w:ascii="Gentium Plus" w:hAnsi="Gentium Plus"/>
          <w:sz w:val="24"/>
        </w:rPr>
        <w:t>Athenaeus IV: Ὁ δὲ Περσῶν βασι‐ λεὺς, ὥς φησι Κτησίας καὶ Δείνων ἐν τοῖς Περσικοῖς, ἐδείπνει μετὰ ἀνδρῶν μυρίων πεντακισχιλίων, καὶ ἀνηλίσκετο εἰς τὸ δεῖπνον τάλαντα τετρακόσια.</w:t>
      </w:r>
    </w:p>
    <w:p>
      <w:r>
        <w:rPr>
          <w:rFonts w:ascii="Courier New" w:hAnsi="Courier New"/>
          <w:color w:val="555555"/>
          <w:sz w:val="20"/>
        </w:rPr>
        <w:t>[20]</w:t>
      </w:r>
    </w:p>
    <w:p>
      <w:r>
        <w:rPr>
          <w:rFonts w:ascii="Gentium Plus" w:hAnsi="Gentium Plus"/>
          <w:sz w:val="24"/>
        </w:rPr>
        <w:t>Plutarch. Themist. c. 27: Θουκυδίδης μὲν οὖν καὶ Χάρων ὁ Λαμψακηνὸς ἱστοροῦσι τεθνηκότος Ξέρξου πρὸς τὸν υἱὸν αὐτοῦ τῷ Θεμιστοκλεῖ γενέσθαι τὴν ἔν‐ τευξιν, Ἔφορος δὲ καὶ Δείνων καὶ Κλείταρχος καὶ</w:t>
      </w:r>
    </w:p>
    <w:p>
      <w:r>
        <w:rPr>
          <w:rFonts w:ascii="Courier New" w:hAnsi="Courier New"/>
          <w:color w:val="555555"/>
          <w:sz w:val="20"/>
        </w:rPr>
        <w:t>[5]</w:t>
      </w:r>
    </w:p>
    <w:p>
      <w:r>
        <w:rPr>
          <w:rFonts w:ascii="Gentium Plus" w:hAnsi="Gentium Plus"/>
          <w:sz w:val="24"/>
        </w:rPr>
        <w:t>Ἡρακλείδης, ἔτι δ’ ἄλλοι πλείονες, πρὸς αὐτὸν ἀφι‐ κέσθαι τὸν Ξέρξην.</w:t>
      </w:r>
    </w:p>
    <w:p>
      <w:r>
        <w:rPr>
          <w:rFonts w:ascii="Courier New" w:hAnsi="Courier New"/>
          <w:color w:val="555555"/>
          <w:sz w:val="20"/>
        </w:rPr>
        <w:t>[21 (t)]</w:t>
      </w:r>
    </w:p>
    <w:p>
      <w:pPr>
        <w:jc w:val="center"/>
      </w:pPr>
      <w:r>
        <w:rPr>
          <w:rFonts w:ascii="Gentium Plus" w:hAnsi="Gentium Plus"/>
          <w:b/>
          <w:sz w:val="24"/>
        </w:rPr>
        <w:t>E LIBRO QUARTO.</w:t>
      </w:r>
    </w:p>
    <w:p>
      <w:r>
        <w:rPr>
          <w:rFonts w:ascii="Courier New" w:hAnsi="Courier New"/>
          <w:color w:val="555555"/>
          <w:sz w:val="20"/>
        </w:rPr>
        <w:t>[1]</w:t>
      </w:r>
    </w:p>
    <w:p>
      <w:r>
        <w:rPr>
          <w:rFonts w:ascii="Gentium Plus" w:hAnsi="Gentium Plus"/>
          <w:sz w:val="24"/>
        </w:rPr>
        <w:t>Athenaeus XIII: Δείνων δ’ ἐν τῇ πέμπτῃ τῶν Περσικῶν τῆς πρώτης συντάξεώς φησιν, ὅτι ἡ Βα‐ γάζου γυνὴ, ἥτις ἦν ὁμοπάτριος Ξέρξου ἀδελφὴ, ὄνομα Ἀνοῦτις, καλλίστη ἦν τῶν ἐν τῇ Ἀσίᾳ γυναικῶν καὶ</w:t>
      </w:r>
    </w:p>
    <w:p>
      <w:r>
        <w:rPr>
          <w:rFonts w:ascii="Courier New" w:hAnsi="Courier New"/>
          <w:color w:val="555555"/>
          <w:sz w:val="20"/>
        </w:rPr>
        <w:t>[5]</w:t>
      </w:r>
    </w:p>
    <w:p>
      <w:r>
        <w:rPr>
          <w:rFonts w:ascii="Gentium Plus" w:hAnsi="Gentium Plus"/>
          <w:sz w:val="24"/>
        </w:rPr>
        <w:t>ἀκολαστοτάτη.</w:t>
      </w:r>
    </w:p>
    <w:p>
      <w:r>
        <w:rPr>
          <w:rFonts w:ascii="Courier New" w:hAnsi="Courier New"/>
          <w:color w:val="555555"/>
          <w:sz w:val="20"/>
        </w:rPr>
        <w:t>[22]</w:t>
      </w:r>
    </w:p>
    <w:p>
      <w:r>
        <w:rPr>
          <w:rFonts w:ascii="Gentium Plus" w:hAnsi="Gentium Plus"/>
          <w:sz w:val="24"/>
        </w:rPr>
        <w:t>Plutarch. Artox. c. 1: Ὁ δὲ Ἀρτοξέρξης Ἀρσίκας πρότερον ἐκαλεῖτο, καίτοι Δείνων φησὶν, ὅτι Ὀάρτης. Ἀλλὰ τὸν Κτησίαν, εἰ καὶ τἄλλα μύθων ἀπιθάνων καὶ παραφόρων ἐμβέβληκεν εἰς τὰ βιβλία παντοδαπὴν</w:t>
      </w:r>
    </w:p>
    <w:p>
      <w:r>
        <w:rPr>
          <w:rFonts w:ascii="Courier New" w:hAnsi="Courier New"/>
          <w:color w:val="555555"/>
          <w:sz w:val="20"/>
        </w:rPr>
        <w:t>[5]</w:t>
      </w:r>
    </w:p>
    <w:p>
      <w:r>
        <w:rPr>
          <w:rFonts w:ascii="Gentium Plus" w:hAnsi="Gentium Plus"/>
          <w:sz w:val="24"/>
        </w:rPr>
        <w:t>πυλαίαν, οὐκ εἰκός ἐστιν ἀγνοεῖν τοὔνομα τοῦ βασι‐ λέως, παρ’ ᾧ διέτριβε θεραπεύων αὐτὸν καὶ γυναῖκα καὶ μητέρα καὶ παῖδας.</w:t>
      </w:r>
    </w:p>
    <w:p>
      <w:r>
        <w:rPr>
          <w:rFonts w:ascii="Courier New" w:hAnsi="Courier New"/>
          <w:color w:val="555555"/>
          <w:sz w:val="20"/>
        </w:rPr>
        <w:t>[23]</w:t>
      </w:r>
    </w:p>
    <w:p>
      <w:r>
        <w:rPr>
          <w:rFonts w:ascii="Gentium Plus" w:hAnsi="Gentium Plus"/>
          <w:sz w:val="24"/>
        </w:rPr>
        <w:t>Plutarch. Artox. c. 6: Ἐκ δὴ τούτων μισοῦσα τὴν Στάτειραν ἡ Παρύσατις καὶ φύσει βαρύθυμος οὖσα καὶ βάρβαρος ἐν ὀργαῖς καὶ μνησικακίαις ἐπεβούλευεν αὐτὴν ἀνελεῖν. Ἐπεὶ δὲ Δείνων μὲν ἐν τῷ πολέμῳ</w:t>
      </w:r>
    </w:p>
    <w:p>
      <w:r>
        <w:rPr>
          <w:rFonts w:ascii="Courier New" w:hAnsi="Courier New"/>
          <w:color w:val="555555"/>
          <w:sz w:val="20"/>
        </w:rPr>
        <w:t>[5]</w:t>
      </w:r>
    </w:p>
    <w:p>
      <w:r>
        <w:rPr>
          <w:rFonts w:ascii="Gentium Plus" w:hAnsi="Gentium Plus"/>
          <w:sz w:val="24"/>
        </w:rPr>
        <w:t>συντελεσθῆναι τὴν ἐπι‐ βουλὴν εἴρηκε, Κτησίας δ’ ὕστερον, ὃν οὔτ’ ἀγνοεῖν τὸν χρόνον εἰκός ἐστι· κτλ.</w:t>
      </w:r>
    </w:p>
    <w:p>
      <w:r>
        <w:rPr>
          <w:rFonts w:ascii="Courier New" w:hAnsi="Courier New"/>
          <w:color w:val="555555"/>
          <w:sz w:val="20"/>
        </w:rPr>
        <w:t>[24]</w:t>
      </w:r>
    </w:p>
    <w:p>
      <w:r>
        <w:rPr>
          <w:rFonts w:ascii="Gentium Plus" w:hAnsi="Gentium Plus"/>
          <w:sz w:val="24"/>
        </w:rPr>
        <w:t>Plutarch. Artox. c. 9: Τὸν μὲν οὖν Ἀρταγέρσην ἀποθανεῖν ὑπὸ Κύρου σχεδὸν ἅπαντες ὁμολογοῦσι· περὶ δὲ τῆς αὐτοῦ Κύρου τελευτῆς ἐπεὶ Ξενοφῶν ἁπλῶς καὶ συντόμως, ἅτε δὴ μὴ παρὼν αὐτὸς, εἶπεν, οὐδὲν ἴσως</w:t>
      </w:r>
    </w:p>
    <w:p>
      <w:r>
        <w:rPr>
          <w:rFonts w:ascii="Courier New" w:hAnsi="Courier New"/>
          <w:color w:val="555555"/>
          <w:sz w:val="20"/>
        </w:rPr>
        <w:t>[5]</w:t>
      </w:r>
    </w:p>
    <w:p>
      <w:r>
        <w:rPr>
          <w:rFonts w:ascii="Gentium Plus" w:hAnsi="Gentium Plus"/>
          <w:sz w:val="24"/>
        </w:rPr>
        <w:t>κωλύει τὰ Δείνωνος ἰδίᾳ καὶ πάλιν τὰ Κτησίου διελθεῖν. Φησὶν οὖν ὁ μὲν Δείνων, ὅτι τοῦ Ἀρ‐ ταγέρσου πεσόντος εἰσελάσας βιαίως ὁ Κῦρος εἰς τοὺς προτεταγμένους τοῦ βασιλέως κατέτρωσεν αὐτοῦ τὸν</w:t>
      </w:r>
    </w:p>
    <w:p>
      <w:r>
        <w:rPr>
          <w:rFonts w:ascii="Courier New" w:hAnsi="Courier New"/>
          <w:color w:val="555555"/>
          <w:sz w:val="20"/>
        </w:rPr>
        <w:t>[10]</w:t>
      </w:r>
    </w:p>
    <w:p>
      <w:r>
        <w:rPr>
          <w:rFonts w:ascii="Gentium Plus" w:hAnsi="Gentium Plus"/>
          <w:sz w:val="24"/>
        </w:rPr>
        <w:t>ἵππον, ὁ δὲ ἀπεῤῥύη· Τηριβάζου δ’ ἀναβαλόντος αὐ‐ τὸν ἐπ’ ἄλλον ἵππον ταχὺ καὶ εἰπόντος αὐτῷ, «Ὦ βα‐ σιλεῦ, μέμνησο τῆς ἡμέρας ταύτης, οὐ γὰρ ἀξία λή‐ θης ἐστί,» πάλιν ὁ Κῦρος ἐνσείσας τῷ ἵππῳ κατέβαλε</w:t>
      </w:r>
    </w:p>
    <w:p>
      <w:r>
        <w:rPr>
          <w:rFonts w:ascii="Courier New" w:hAnsi="Courier New"/>
          <w:color w:val="555555"/>
          <w:sz w:val="20"/>
        </w:rPr>
        <w:t>[15]</w:t>
      </w:r>
    </w:p>
    <w:p>
      <w:r>
        <w:rPr>
          <w:rFonts w:ascii="Gentium Plus" w:hAnsi="Gentium Plus"/>
          <w:sz w:val="24"/>
        </w:rPr>
        <w:t>ανασχετήσας ὁ βασιλεὺς καὶ εἰπὼν πρὸς τοὺς παρόν‐ τας, ὡς βέλτιόν ἐστι μὴ ζῆν, ἀντεξήλαυνε τῷ Κύρῳ προπετῶς καὶ ἀπερισκέπτως εἰς ἐναντία βέλη φερο‐ μένῳ, καὶ βάλλει μὲν αὐτὸς ἀκοντίῳ, βάλλουσι δ’ οἱ περὶ αὐτόν. Πίπτει δ’ ὁ Κῦρος, ὡς μὲν ἔνιοι λέγουσι,</w:t>
      </w:r>
    </w:p>
    <w:p>
      <w:r>
        <w:rPr>
          <w:rFonts w:ascii="Courier New" w:hAnsi="Courier New"/>
          <w:color w:val="555555"/>
          <w:sz w:val="20"/>
        </w:rPr>
        <w:t>[20]</w:t>
      </w:r>
    </w:p>
    <w:p>
      <w:r>
        <w:rPr>
          <w:rFonts w:ascii="Gentium Plus" w:hAnsi="Gentium Plus"/>
          <w:sz w:val="24"/>
        </w:rPr>
        <w:t>πληγεὶς ὑπὸ τοῦ βασιλέως, ὡς δ’ ἕτεροί τινες, Καρὸς ἀνθρώπου πατάξαντος, ᾧ γέρας ἔδωκε τῆς πράξεως ταύτης ὁ βασιλεὺς ἀλεκτρυόνα χρυσοῦν ἐπὶ δόρατος ἀεὶ πρὸ τῆς τάξεως ἐν ταῖς στρατείαις κομίζειν· καὶ γὰρ αὐτοὺς τοὺς Κᾶρας ἀλεκτρυόνας οἱ Πέρσαι διὰ</w:t>
      </w:r>
    </w:p>
    <w:p>
      <w:r>
        <w:rPr>
          <w:rFonts w:ascii="Courier New" w:hAnsi="Courier New"/>
          <w:color w:val="555555"/>
          <w:sz w:val="20"/>
        </w:rPr>
        <w:t>[25]</w:t>
      </w:r>
    </w:p>
    <w:p>
      <w:r>
        <w:rPr>
          <w:rFonts w:ascii="Gentium Plus" w:hAnsi="Gentium Plus"/>
          <w:sz w:val="24"/>
        </w:rPr>
        <w:t>τοὺς λόφους, οἷς κοσμοῦσι τὰ κράνη, προσηγόρευον.</w:t>
      </w:r>
    </w:p>
    <w:p>
      <w:r>
        <w:rPr>
          <w:rFonts w:ascii="Courier New" w:hAnsi="Courier New"/>
          <w:color w:val="555555"/>
          <w:sz w:val="20"/>
        </w:rPr>
        <w:t>[25]</w:t>
      </w:r>
    </w:p>
    <w:p>
      <w:r>
        <w:rPr>
          <w:rFonts w:ascii="Gentium Plus" w:hAnsi="Gentium Plus"/>
          <w:sz w:val="24"/>
        </w:rPr>
        <w:t>Plutarch. Artox. c. 13: Ἐξεληλάκει δ’, ὡς ὁ Κτησίας φησὶν, ἐπὶ τὴν μάχην τεσσαράκοντα μυριάσιν· οἱ δὲ περὶ Δείνωνα καὶ Ξενοφῶντα πολὺ πλείονας γενέσθαι λέγουσι τὰς</w:t>
      </w:r>
    </w:p>
    <w:p>
      <w:r>
        <w:rPr>
          <w:rFonts w:ascii="Courier New" w:hAnsi="Courier New"/>
          <w:color w:val="555555"/>
          <w:sz w:val="20"/>
        </w:rPr>
        <w:t>[5]</w:t>
      </w:r>
    </w:p>
    <w:p>
      <w:r>
        <w:rPr>
          <w:rFonts w:ascii="Gentium Plus" w:hAnsi="Gentium Plus"/>
          <w:sz w:val="24"/>
        </w:rPr>
        <w:t>μεμαχημένας.</w:t>
      </w:r>
    </w:p>
    <w:p>
      <w:r>
        <w:rPr>
          <w:rFonts w:ascii="Courier New" w:hAnsi="Courier New"/>
          <w:color w:val="555555"/>
          <w:sz w:val="20"/>
        </w:rPr>
        <w:t>[26]</w:t>
      </w:r>
    </w:p>
    <w:p>
      <w:r>
        <w:rPr>
          <w:rFonts w:ascii="Gentium Plus" w:hAnsi="Gentium Plus"/>
          <w:sz w:val="24"/>
        </w:rPr>
        <w:t>Plutarch. Artox. c. 19: Θεράπαιναν εἶχε πιστὴν καὶ δυναμένην παρ’ αὑτῇ μέγιστον ὄνομα Γίγιν· ἣν ὁ μὲν Δείνων ὑπουργῆσαι τῇ φαρμακείᾳ φησὶ, συγγνῶναι δὲ</w:t>
      </w:r>
    </w:p>
    <w:p>
      <w:r>
        <w:rPr>
          <w:rFonts w:ascii="Courier New" w:hAnsi="Courier New"/>
          <w:color w:val="555555"/>
          <w:sz w:val="20"/>
        </w:rPr>
        <w:t>[5]</w:t>
      </w:r>
    </w:p>
    <w:p>
      <w:r>
        <w:rPr>
          <w:rFonts w:ascii="Gentium Plus" w:hAnsi="Gentium Plus"/>
          <w:sz w:val="24"/>
        </w:rPr>
        <w:t>μόνον ἄκουσαν ὁ Κτησίας. Τὸν δὲ δόντα τὸ φάρμακον οὗτος μὲν ὀνομάζει Βελιτάραν, ὁ δὲ Δείνων Μελάνταν. Γίνεται δὲ μικρὸν ἐν Πέρσαις ὀρνίθιον, ᾧ περιττώ‐ ματος οὐδέν ἐστιν, ἀλλ’ ὅλον διάπλεον πιμελῆς τὰ ἐν‐ τός· ᾗ καὶ νομίζουσιν ἀνέμῳ καὶ δρόσῳ τρέφεσθαι τὸ</w:t>
      </w:r>
    </w:p>
    <w:p>
      <w:r>
        <w:rPr>
          <w:rFonts w:ascii="Courier New" w:hAnsi="Courier New"/>
          <w:color w:val="555555"/>
          <w:sz w:val="20"/>
        </w:rPr>
        <w:t>[10]</w:t>
      </w:r>
    </w:p>
    <w:p>
      <w:r>
        <w:rPr>
          <w:rFonts w:ascii="Gentium Plus" w:hAnsi="Gentium Plus"/>
          <w:sz w:val="24"/>
        </w:rPr>
        <w:t>ζῷον· ὀνομάζεται δὲ ῥυντάκης. Τοῦτό φησιν ὁ Κτη‐ σίας μικρᾷ μαχαιρίδι κεχρισμένῃ τῷ φαρμάκῳ κατὰ θάτερα τὴν Παρύσατιν διαιροῦσαν ἐκμάξαι τῷ ἑτέρῳ μέρει τὸ φάρμακον, καὶ τὸ μὲν ἄχραντον καὶ καθαρὸν εἰς τὸ στόμα βαλοῦσαν αὐτὴν ἐσθίειν, δοῦναι δὲ τῇ</w:t>
      </w:r>
    </w:p>
    <w:p>
      <w:r>
        <w:rPr>
          <w:rFonts w:ascii="Courier New" w:hAnsi="Courier New"/>
          <w:color w:val="555555"/>
          <w:sz w:val="20"/>
        </w:rPr>
        <w:t>[15]</w:t>
      </w:r>
    </w:p>
    <w:p>
      <w:r>
        <w:rPr>
          <w:rFonts w:ascii="Gentium Plus" w:hAnsi="Gentium Plus"/>
          <w:sz w:val="24"/>
        </w:rPr>
        <w:t>Στατείρᾳ τὸ πεφαρμαγμένον· ὁ δὲ Δείνων οὐ τὴν Πα‐ ρύσατιν, ἀλλὰ τὸν Μελάνταν τέμνοντα τῷ μαχαιρίῳ τὰ φαρμασσόμενα τῶν κρεῶν τιθέναι κατὰ τὴν Στά‐ τειραν.</w:t>
      </w:r>
    </w:p>
    <w:p>
      <w:r>
        <w:rPr>
          <w:rFonts w:ascii="Courier New" w:hAnsi="Courier New"/>
          <w:color w:val="555555"/>
          <w:sz w:val="20"/>
        </w:rPr>
        <w:t>[27]</w:t>
      </w:r>
    </w:p>
    <w:p>
      <w:r>
        <w:rPr>
          <w:rFonts w:ascii="Gentium Plus" w:hAnsi="Gentium Plus"/>
          <w:sz w:val="24"/>
        </w:rPr>
        <w:t>Cornel. Nepos Conon. c. 5: Clam dare operam coepit (Conon), ut Ioniam et Aeoliam restitueret Atheniensibus. Id quum minus diligenter esset vela‐ tum, Tiribazus, qui Sardibus praeerat, Cononem</w:t>
      </w:r>
    </w:p>
    <w:p>
      <w:r>
        <w:rPr>
          <w:rFonts w:ascii="Courier New" w:hAnsi="Courier New"/>
          <w:color w:val="555555"/>
          <w:sz w:val="20"/>
        </w:rPr>
        <w:t>[5]</w:t>
      </w:r>
    </w:p>
    <w:p>
      <w:r>
        <w:rPr>
          <w:rFonts w:ascii="Gentium Plus" w:hAnsi="Gentium Plus"/>
          <w:sz w:val="24"/>
        </w:rPr>
        <w:t>evocavit, simulans ad regem eum se mittere velle magna de re. Hujus nuntio parens quum venisset, in vincula conjectus est, in quibus aliquamdiu fuit. Inde nonnulli eum ad regem abductum ibique per‐ isse scriptum reliquerunt. Contra ea Dinon histori‐</w:t>
      </w:r>
    </w:p>
    <w:p>
      <w:r>
        <w:rPr>
          <w:rFonts w:ascii="Courier New" w:hAnsi="Courier New"/>
          <w:color w:val="555555"/>
          <w:sz w:val="20"/>
        </w:rPr>
        <w:t>[10]</w:t>
      </w:r>
    </w:p>
    <w:p>
      <w:r>
        <w:rPr>
          <w:rFonts w:ascii="Gentium Plus" w:hAnsi="Gentium Plus"/>
          <w:sz w:val="24"/>
        </w:rPr>
        <w:t>cus, cui nos plurimum de rebus Persicis credimus, effugisse scripsit; illud addubitat, utrum Tiribazo sciente, an imprudente sit factum.</w:t>
      </w:r>
    </w:p>
    <w:p>
      <w:r>
        <w:rPr>
          <w:rFonts w:ascii="Courier New" w:hAnsi="Courier New"/>
          <w:color w:val="555555"/>
          <w:sz w:val="20"/>
        </w:rPr>
        <w:t>[28]</w:t>
      </w:r>
    </w:p>
    <w:p>
      <w:r>
        <w:rPr>
          <w:rFonts w:ascii="Gentium Plus" w:hAnsi="Gentium Plus"/>
          <w:sz w:val="24"/>
        </w:rPr>
        <w:t>Plutarch. Artox. c. 21: Ὁ δ’ Ἀνταλκίδας Σπαρ‐ τιάτης ἦν, Λέοντος υἱὸς, καὶ σπουδάσας βασιλεῖ διε‐ πράξατο τὰς ἐν Ἀσίᾳ πόλεις Ἑλληνίδας ἁπάσας καὶ νήσους, ὅσαι προσκυροῦσιν Ἀσίᾳ, παρεῖναι Λακεδαιμο‐</w:t>
      </w:r>
    </w:p>
    <w:p>
      <w:r>
        <w:rPr>
          <w:rFonts w:ascii="Courier New" w:hAnsi="Courier New"/>
          <w:color w:val="555555"/>
          <w:sz w:val="20"/>
        </w:rPr>
        <w:t>[5]</w:t>
      </w:r>
    </w:p>
    <w:p>
      <w:r>
        <w:rPr>
          <w:rFonts w:ascii="Gentium Plus" w:hAnsi="Gentium Plus"/>
          <w:sz w:val="24"/>
        </w:rPr>
        <w:t>νίους αὐτῷ κεκτῆσθαι φόρων ὑποτελεῖς, εἰρήνης γενο‐ μένης τοῖς Ἕλλησιν, εἰ δεῖ τὴν τῆς Ἑλλάδος ὕβριν καὶ προδοσίαν εἰρήνην καλεῖν, ἧς πόλεμος οὐδεὶς ἀκλεέστε‐ ρον ἤνεγκε τέλος τοῖς κρατηθεῖσι. Διὸ καὶ τοὺς ἄλλους Σπαρτιάτας ἀεὶ βδελυττόμενος ὁ Ἀρτοξέρξης καὶ νο‐</w:t>
      </w:r>
    </w:p>
    <w:p>
      <w:r>
        <w:rPr>
          <w:rFonts w:ascii="Courier New" w:hAnsi="Courier New"/>
          <w:color w:val="555555"/>
          <w:sz w:val="20"/>
        </w:rPr>
        <w:t>[10]</w:t>
      </w:r>
    </w:p>
    <w:p>
      <w:r>
        <w:rPr>
          <w:rFonts w:ascii="Gentium Plus" w:hAnsi="Gentium Plus"/>
          <w:sz w:val="24"/>
        </w:rPr>
        <w:t>μίζων, ὥς φησι Δείνων, ἀνθρώπων ἁπάντων ἀναιδεστά‐ τους εἶναι, τὸν Ἀνταλκίδαν ὑπερηγάπησεν εἰς Πέρσας ἀναβάντα. Καί ποτε λαβὼν ἕνα τῶν ἀνθινῶν στεφάνων</w:t>
      </w:r>
    </w:p>
    <w:p>
      <w:r>
        <w:rPr>
          <w:rFonts w:ascii="Courier New" w:hAnsi="Courier New"/>
          <w:color w:val="555555"/>
          <w:sz w:val="20"/>
        </w:rPr>
        <w:t>[15]</w:t>
      </w:r>
    </w:p>
    <w:p>
      <w:r>
        <w:rPr>
          <w:rFonts w:ascii="Gentium Plus" w:hAnsi="Gentium Plus"/>
          <w:sz w:val="24"/>
        </w:rPr>
        <w:t>λοφροσύνην. Ἦν δ’, ὡς ἔοικεν, οὗτος ἐπιτήδειος ἐντρυ‐ φηθῆναι καὶ τοιοῦτον λαβεῖν στέφανον ἐξορχησάμενος ἐν Πέρσαις τὸν Λεωνίδαν καὶ τὸν Καλλικρατίδαν.</w:t>
      </w:r>
    </w:p>
    <w:p>
      <w:r>
        <w:rPr>
          <w:rFonts w:ascii="Courier New" w:hAnsi="Courier New"/>
          <w:color w:val="555555"/>
          <w:sz w:val="20"/>
        </w:rPr>
        <w:t>[29]</w:t>
      </w:r>
    </w:p>
    <w:p>
      <w:r>
        <w:rPr>
          <w:rFonts w:ascii="Gentium Plus" w:hAnsi="Gentium Plus"/>
          <w:sz w:val="24"/>
        </w:rPr>
        <w:t>Lucian. Macrob. c. 15: Ἀρτα‐ ξέρξης ὁ Μνήμων ἐπικληθεὶς, ἐφ’ ὃν Κῦρος ὁ ἀδελφὸς ἐστρατεύσατο, βασιλεύων ἐν Πέρσαις ἐτελεύτησε νόσῳ ἓξ καὶ ὀγδοήκοντα ἐτῶν γενόμενος, ὡς δὲ Δείνων ἱστο‐</w:t>
      </w:r>
    </w:p>
    <w:p>
      <w:r>
        <w:rPr>
          <w:rFonts w:ascii="Courier New" w:hAnsi="Courier New"/>
          <w:color w:val="555555"/>
          <w:sz w:val="20"/>
        </w:rPr>
        <w:t>[5]</w:t>
      </w:r>
    </w:p>
    <w:p>
      <w:r>
        <w:rPr>
          <w:rFonts w:ascii="Gentium Plus" w:hAnsi="Gentium Plus"/>
          <w:sz w:val="24"/>
        </w:rPr>
        <w:t>ρεῖ, τεττάρων καὶ ἐνενήκοντα.</w:t>
      </w:r>
    </w:p>
    <w:p>
      <w:r>
        <w:rPr>
          <w:rFonts w:ascii="Courier New" w:hAnsi="Courier New"/>
          <w:color w:val="555555"/>
          <w:sz w:val="20"/>
        </w:rPr>
        <w:t>[30]</w:t>
      </w:r>
    </w:p>
    <w:p>
      <w:r>
        <w:rPr>
          <w:rFonts w:ascii="Gentium Plus" w:hAnsi="Gentium Plus"/>
          <w:sz w:val="24"/>
        </w:rPr>
        <w:t>Plutarchus De Isid. et Os. c. 31: Διὸ καὶ τῶν Περσικῶν βασιλέων ἐχθραίνοντες μάλιστα τὸν Ὦχον ὡς ἐναγῆ καὶ μιαρὸν, ὄνον ἐπωνόμασαν. Κἀκεῖνος εἰπὼν, Ὁ μέν‐</w:t>
      </w:r>
    </w:p>
    <w:p>
      <w:r>
        <w:rPr>
          <w:rFonts w:ascii="Courier New" w:hAnsi="Courier New"/>
          <w:color w:val="555555"/>
          <w:sz w:val="20"/>
        </w:rPr>
        <w:t>[5]</w:t>
      </w:r>
    </w:p>
    <w:p>
      <w:r>
        <w:rPr>
          <w:rFonts w:ascii="Gentium Plus" w:hAnsi="Gentium Plus"/>
          <w:sz w:val="24"/>
        </w:rPr>
        <w:t>τοι ὄνος οὗτος ὑμῶν κατευωχήσεται τὸν βοῦν, ἔθυσε τὸν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