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Γάϊος Ἀκίλιος ὁ Ἱστορικός</w:t>
      </w:r>
      <w:r>
        <w:br/>
      </w:r>
      <w:r>
        <w:rPr>
          <w:i/>
          <w:color w:val="666666"/>
          <w:sz w:val="28"/>
        </w:rPr>
        <w:t>by Gaius Acilius Historian</w:t>
      </w:r>
    </w:p>
    <w:p/>
    <w:p>
      <w:r>
        <w:rPr>
          <w:rFonts w:ascii="Courier New" w:hAnsi="Courier New"/>
          <w:color w:val="555555"/>
          <w:sz w:val="20"/>
        </w:rPr>
        <w:t>[1]</w:t>
      </w:r>
    </w:p>
    <w:p>
      <w:r>
        <w:rPr>
          <w:rFonts w:ascii="Gentium Plus" w:hAnsi="Gentium Plus"/>
          <w:sz w:val="24"/>
        </w:rPr>
        <w:t>De origin. gent. Rom. c. 10, 2: Et postquam ad classem rediit, repperitque mortuam (Prochy‐ tam), in insula proxima sepelisse, quae nunc quo‐ que eodem est nomine, ut scribunt Vulcatius Aci‐</w:t>
      </w:r>
    </w:p>
    <w:p>
      <w:r>
        <w:rPr>
          <w:rFonts w:ascii="Courier New" w:hAnsi="Courier New"/>
          <w:color w:val="555555"/>
          <w:sz w:val="20"/>
        </w:rPr>
        <w:t>[5]</w:t>
      </w:r>
    </w:p>
    <w:p>
      <w:r>
        <w:rPr>
          <w:rFonts w:ascii="Gentium Plus" w:hAnsi="Gentium Plus"/>
          <w:sz w:val="24"/>
        </w:rPr>
        <w:t>lius et Piso.</w:t>
      </w:r>
    </w:p>
    <w:p>
      <w:r>
        <w:rPr>
          <w:rFonts w:ascii="Courier New" w:hAnsi="Courier New"/>
          <w:color w:val="555555"/>
          <w:sz w:val="20"/>
        </w:rPr>
        <w:t>[2]</w:t>
      </w:r>
    </w:p>
    <w:p>
      <w:r>
        <w:rPr>
          <w:rFonts w:ascii="Gentium Plus" w:hAnsi="Gentium Plus"/>
          <w:sz w:val="24"/>
        </w:rPr>
        <w:t>Plutarchus Romul. c. 21: Γάϊος δὲ Ἀκίλιος ἱστο‐</w:t>
      </w:r>
    </w:p>
    <w:p>
      <w:r>
        <w:rPr>
          <w:rFonts w:ascii="Courier New" w:hAnsi="Courier New"/>
          <w:color w:val="555555"/>
          <w:sz w:val="20"/>
        </w:rPr>
        <w:t>[5]</w:t>
      </w:r>
    </w:p>
    <w:p>
      <w:r>
        <w:rPr>
          <w:rFonts w:ascii="Gentium Plus" w:hAnsi="Gentium Plus"/>
          <w:sz w:val="24"/>
        </w:rPr>
        <w:t>ἱδρῶτος μὴ ἐνοχλοῖντο, καὶ διὰ τοῦτο γυμνοὺς περιτρέ‐ χειν τοὺς Λουπέρκους.</w:t>
      </w:r>
    </w:p>
    <w:p>
      <w:r>
        <w:rPr>
          <w:rFonts w:ascii="Courier New" w:hAnsi="Courier New"/>
          <w:color w:val="555555"/>
          <w:sz w:val="20"/>
        </w:rPr>
        <w:t>[3]</w:t>
      </w:r>
    </w:p>
    <w:p>
      <w:r>
        <w:rPr>
          <w:rFonts w:ascii="Gentium Plus" w:hAnsi="Gentium Plus"/>
          <w:sz w:val="24"/>
        </w:rPr>
        <w:t>Dionysius Hal. A R. III, 67: Ἔγωγ’ οὖν ἐν τρισὶ τοῖς μεγαλοπρεπεστάτοις κατασκευάσμασι τῆς Ῥώμης, ἐξ ὧν μάλιστα τὸ τῆς ἡγεμονίας ἐμφαί‐ νεται μέγιστον, τάς τε τῶν ὑδάτων ἀγωγὰς τίθεμαι καὶ</w:t>
      </w:r>
    </w:p>
    <w:p>
      <w:r>
        <w:rPr>
          <w:rFonts w:ascii="Courier New" w:hAnsi="Courier New"/>
          <w:color w:val="555555"/>
          <w:sz w:val="20"/>
        </w:rPr>
        <w:t>[5]</w:t>
      </w:r>
    </w:p>
    <w:p>
      <w:r>
        <w:rPr>
          <w:rFonts w:ascii="Gentium Plus" w:hAnsi="Gentium Plus"/>
          <w:sz w:val="24"/>
        </w:rPr>
        <w:t>τὰς τῶν ὁδῶν στρώσεις καὶ τὰς τῶν ὑπονόμων ἐργα‐ σίας, οὐ μόνον εἰς τὸ χρήσιμον τῆς κατασκευῆς τὴν διά‐ νοιαν φέρων· ὑπὲρ οὗ κατὰ τὸν οἰκεῖον καιρὸν ἐρῶ· ἀλλὰ καὶ εἰς τὴν τῶν ἀναλωμάτων πολυτέλειαν, ἣν ἐξ ἑνὸς ἔργου τεκμήραιτ’ ἄν τις, Γάϊον Ἀκύλιον ποιησάμενος</w:t>
      </w:r>
    </w:p>
    <w:p>
      <w:r>
        <w:rPr>
          <w:rFonts w:ascii="Courier New" w:hAnsi="Courier New"/>
          <w:color w:val="555555"/>
          <w:sz w:val="20"/>
        </w:rPr>
        <w:t>[10]</w:t>
      </w:r>
    </w:p>
    <w:p>
      <w:r>
        <w:rPr>
          <w:rFonts w:ascii="Gentium Plus" w:hAnsi="Gentium Plus"/>
          <w:sz w:val="24"/>
        </w:rPr>
        <w:t>τοῦ μέλλοντος λέγεσθαι βεβαιωτὴν, ὅς φησιν ἀμεληθει‐ σῶν ποτε τῶν τάφρων καὶ μηκέτι διαρρεομένων, τοὺς τιμητὰς τὴν ἀνακάθαρσιν αὐτῶν καὶ τὴν ἐπισκευὴν χι‐ λίων μισθῶσαι ταλάντων.</w:t>
      </w:r>
    </w:p>
    <w:p>
      <w:r>
        <w:rPr>
          <w:rFonts w:ascii="Courier New" w:hAnsi="Courier New"/>
          <w:color w:val="555555"/>
          <w:sz w:val="20"/>
        </w:rPr>
        <w:t>[4]</w:t>
      </w:r>
    </w:p>
    <w:p>
      <w:r>
        <w:rPr>
          <w:rFonts w:ascii="Gentium Plus" w:hAnsi="Gentium Plus"/>
          <w:sz w:val="24"/>
        </w:rPr>
        <w:t>Cicero De off. III, 32: Ut laudandus Regulus in conservando iureiurando, sic decem illi, quos post Cannensem pugnam iuratos ad senatum misit Han‐ nibal, se in castra redituros ea, quorum erant po‐</w:t>
      </w:r>
    </w:p>
    <w:p>
      <w:r>
        <w:rPr>
          <w:rFonts w:ascii="Courier New" w:hAnsi="Courier New"/>
          <w:color w:val="555555"/>
          <w:sz w:val="20"/>
        </w:rPr>
        <w:t>[5]</w:t>
      </w:r>
    </w:p>
    <w:p>
      <w:r>
        <w:rPr>
          <w:rFonts w:ascii="Gentium Plus" w:hAnsi="Gentium Plus"/>
          <w:sz w:val="24"/>
        </w:rPr>
        <w:t>titi Poeni, nisi de redimendis captivis impetravis‐ sent, si non redierunt, vituperandi. De quibus non omnes uno modo. Nam Polybius (IV, 56) etc. ... Acilius autem, qui graece scripsit historiam, plures ait fuisse, qui in castra revertissent eadem fraude,</w:t>
      </w:r>
    </w:p>
    <w:p>
      <w:r>
        <w:rPr>
          <w:rFonts w:ascii="Courier New" w:hAnsi="Courier New"/>
          <w:color w:val="555555"/>
          <w:sz w:val="20"/>
        </w:rPr>
        <w:t>[10]</w:t>
      </w:r>
    </w:p>
    <w:p>
      <w:r>
        <w:rPr>
          <w:rFonts w:ascii="Gentium Plus" w:hAnsi="Gentium Plus"/>
          <w:sz w:val="24"/>
        </w:rPr>
        <w:t>ut jurejurando liberarentur, eosque a censoribus omnibus ignominiis notatos.</w:t>
      </w:r>
    </w:p>
    <w:p>
      <w:r>
        <w:rPr>
          <w:rFonts w:ascii="Courier New" w:hAnsi="Courier New"/>
          <w:color w:val="555555"/>
          <w:sz w:val="20"/>
        </w:rPr>
        <w:t>[t5-7]</w:t>
      </w:r>
    </w:p>
    <w:p>
      <w:r>
        <w:rPr>
          <w:rFonts w:ascii="Gentium Plus" w:hAnsi="Gentium Plus"/>
          <w:sz w:val="24"/>
        </w:rPr>
        <w:t>E CLAUDIO TRANSLATORE.</w:t>
      </w:r>
    </w:p>
    <w:p>
      <w:r>
        <w:rPr>
          <w:rFonts w:ascii="Courier New" w:hAnsi="Courier New"/>
          <w:color w:val="555555"/>
          <w:sz w:val="20"/>
        </w:rPr>
        <w:t>[5]</w:t>
      </w:r>
    </w:p>
    <w:p>
      <w:r>
        <w:rPr>
          <w:rFonts w:ascii="Gentium Plus" w:hAnsi="Gentium Plus"/>
          <w:sz w:val="24"/>
        </w:rPr>
        <w:t>Livius XXV, 39: Ita nocte ac die bina castra hostium expugnata ductu L. Marcii. Ad triginta septem millia hostium caesa, auctor est</w:t>
      </w:r>
    </w:p>
    <w:p>
      <w:r>
        <w:rPr>
          <w:rFonts w:ascii="Courier New" w:hAnsi="Courier New"/>
          <w:color w:val="555555"/>
          <w:sz w:val="20"/>
        </w:rPr>
        <w:t>[5]</w:t>
      </w:r>
    </w:p>
    <w:p>
      <w:r>
        <w:rPr>
          <w:rFonts w:ascii="Gentium Plus" w:hAnsi="Gentium Plus"/>
          <w:sz w:val="24"/>
        </w:rPr>
        <w:t>Claudius, qui annales Acilianos ex Graeco in Lati‐ num sermonem vertit, captos ad mille octingenta triginta: praedam ingentem partam: in ea fuisse clipeum argenteum pondo centum triginta octo, cum imagine Barcini Hasdrubalis. Valerius Antias una</w:t>
      </w:r>
    </w:p>
    <w:p>
      <w:r>
        <w:rPr>
          <w:rFonts w:ascii="Courier New" w:hAnsi="Courier New"/>
          <w:color w:val="555555"/>
          <w:sz w:val="20"/>
        </w:rPr>
        <w:t>[10]</w:t>
      </w:r>
    </w:p>
    <w:p>
      <w:r>
        <w:rPr>
          <w:rFonts w:ascii="Gentium Plus" w:hAnsi="Gentium Plus"/>
          <w:sz w:val="24"/>
        </w:rPr>
        <w:t>castra Magonis capta tradit, septem millia caesa hostium: altero proelio, eruptione pugnatum cum Hasdrubale: decem millia occisa, quattuor millia trecentos triginta captos. Piso quinque millia ho‐ minum, quum Mago cedentes nostros effuse seque‐</w:t>
      </w:r>
    </w:p>
    <w:p>
      <w:r>
        <w:rPr>
          <w:rFonts w:ascii="Courier New" w:hAnsi="Courier New"/>
          <w:color w:val="555555"/>
          <w:sz w:val="20"/>
        </w:rPr>
        <w:t>[15]</w:t>
      </w:r>
    </w:p>
    <w:p>
      <w:r>
        <w:rPr>
          <w:rFonts w:ascii="Gentium Plus" w:hAnsi="Gentium Plus"/>
          <w:sz w:val="24"/>
        </w:rPr>
        <w:t>retur, caesa ex insidiis scribit. Apud omnes magnum nomen Marcii ducis est.</w:t>
      </w:r>
    </w:p>
    <w:p>
      <w:r>
        <w:rPr>
          <w:rFonts w:ascii="Courier New" w:hAnsi="Courier New"/>
          <w:color w:val="555555"/>
          <w:sz w:val="20"/>
        </w:rPr>
        <w:t>[6]</w:t>
      </w:r>
    </w:p>
    <w:p>
      <w:r>
        <w:rPr>
          <w:rFonts w:ascii="Gentium Plus" w:hAnsi="Gentium Plus"/>
          <w:sz w:val="24"/>
        </w:rPr>
        <w:t>Livius XXXV, 14: Villius, quum Pisidiae bello occupatum esse regem (Antiochum) audisset, Ephesum profectus, dum paucos ibi mo‐ ratur dies, dedit operam, ut cum Hannibale, qui</w:t>
      </w:r>
    </w:p>
    <w:p>
      <w:r>
        <w:rPr>
          <w:rFonts w:ascii="Courier New" w:hAnsi="Courier New"/>
          <w:color w:val="555555"/>
          <w:sz w:val="20"/>
        </w:rPr>
        <w:t>[5]</w:t>
      </w:r>
    </w:p>
    <w:p>
      <w:r>
        <w:rPr>
          <w:rFonts w:ascii="Gentium Plus" w:hAnsi="Gentium Plus"/>
          <w:sz w:val="24"/>
        </w:rPr>
        <w:t>tum ibi forte erat, saepe congrederetur; ut animum ejus et tentaret, si qua posset, et metum demeret periculi ei quicquam ab Romanis esse. His collo‐ quiis aliud quidem actum nihil est; secutum tamen sua sponte est, velut consilio petitum esset, ut vi‐</w:t>
      </w:r>
    </w:p>
    <w:p>
      <w:r>
        <w:rPr>
          <w:rFonts w:ascii="Courier New" w:hAnsi="Courier New"/>
          <w:color w:val="555555"/>
          <w:sz w:val="20"/>
        </w:rPr>
        <w:t>[10]</w:t>
      </w:r>
    </w:p>
    <w:p>
      <w:r>
        <w:rPr>
          <w:rFonts w:ascii="Gentium Plus" w:hAnsi="Gentium Plus"/>
          <w:sz w:val="24"/>
        </w:rPr>
        <w:t>lior ob ea regi Hannibal et suspectior ad omnia fie‐ ret. Claudius, secutus Graecos Acilianos libros, P. Africanum in ea fuisse legatione tradit, eumque Ephesi collocutum cum Hannibale. Et sermonem etiam unum refert, quo quaerenti Africano, quem</w:t>
      </w:r>
    </w:p>
    <w:p>
      <w:r>
        <w:rPr>
          <w:rFonts w:ascii="Courier New" w:hAnsi="Courier New"/>
          <w:color w:val="555555"/>
          <w:sz w:val="20"/>
        </w:rPr>
        <w:t>[15]</w:t>
      </w:r>
    </w:p>
    <w:p>
      <w:r>
        <w:rPr>
          <w:rFonts w:ascii="Gentium Plus" w:hAnsi="Gentium Plus"/>
          <w:sz w:val="24"/>
        </w:rPr>
        <w:t>fuisse maximum imperatorem Hannibal crederet, respondisse, Alexandrum Macedonum regem; quod parva manu innumerabiles exercitus fudisset, quod‐ que ultimas oras, quas visere supra spem humanam esset, peragrasset. Quaerenti deinde, quem secun‐</w:t>
      </w:r>
    </w:p>
    <w:p>
      <w:r>
        <w:rPr>
          <w:rFonts w:ascii="Courier New" w:hAnsi="Courier New"/>
          <w:color w:val="555555"/>
          <w:sz w:val="20"/>
        </w:rPr>
        <w:t>[20]</w:t>
      </w:r>
    </w:p>
    <w:p>
      <w:r>
        <w:rPr>
          <w:rFonts w:ascii="Gentium Plus" w:hAnsi="Gentium Plus"/>
          <w:sz w:val="24"/>
        </w:rPr>
        <w:t>dum poneret, Pyrrhum dixisse. Castra metari pri‐ mum docuisse: ad hoc neminem elegantius loca cepisse, praesidia disposuisse; artem quoque con‐ ciliandi sibi homines eam habuisse, ut Italicae gen‐ tes regis externi, quam populi Romani, tam diu</w:t>
      </w:r>
    </w:p>
    <w:p>
      <w:r>
        <w:rPr>
          <w:rFonts w:ascii="Courier New" w:hAnsi="Courier New"/>
          <w:color w:val="555555"/>
          <w:sz w:val="20"/>
        </w:rPr>
        <w:t>[25]</w:t>
      </w:r>
    </w:p>
    <w:p>
      <w:r>
        <w:rPr>
          <w:rFonts w:ascii="Gentium Plus" w:hAnsi="Gentium Plus"/>
          <w:sz w:val="24"/>
        </w:rPr>
        <w:t>principis in ea terra, imperium esse mallent. Ex‐ sequenti, quem tertium duceret, haud dubie semet ipsum dixisse. Tum risum subortum Scipioni et sub‐ iecisse: Quidnam tu diceres, si me vicisses? Tum me vero, inquit, et ante Alexandrum et ante Pyr‐</w:t>
      </w:r>
    </w:p>
    <w:p>
      <w:r>
        <w:rPr>
          <w:rFonts w:ascii="Courier New" w:hAnsi="Courier New"/>
          <w:color w:val="555555"/>
          <w:sz w:val="20"/>
        </w:rPr>
        <w:t>[30]</w:t>
      </w:r>
    </w:p>
    <w:p>
      <w:r>
        <w:rPr>
          <w:rFonts w:ascii="Gentium Plus" w:hAnsi="Gentium Plus"/>
          <w:sz w:val="24"/>
        </w:rPr>
        <w:t>rhum et ante omnes alios imperatores esse. Et per‐ plexum Punico astu responsum et improvisum as‐ sentationis genus Scipionem movisse, quod e grege se imperatorum velut inaestimabilem secrevisset.</w:t>
      </w:r>
    </w:p>
    <w:p>
      <w:r>
        <w:rPr>
          <w:rFonts w:ascii="Courier New" w:hAnsi="Courier New"/>
          <w:color w:val="555555"/>
          <w:sz w:val="20"/>
        </w:rPr>
        <w:t>[7]</w:t>
      </w:r>
    </w:p>
    <w:p>
      <w:r>
        <w:rPr>
          <w:rFonts w:ascii="Gentium Plus" w:hAnsi="Gentium Plus"/>
          <w:sz w:val="24"/>
        </w:rPr>
        <w:t>Livii Epitom. lib. LIII: A Q. Fabio proconsule pars magna Lusitaniae, expugnatis aliquot urbibus, recepta est. C. Julius</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