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 εἰς τὴν πρὸς Κορινθίους Α'</w:t>
      </w:r>
      <w:r>
        <w:br/>
      </w:r>
      <w:r>
        <w:rPr>
          <w:i/>
          <w:color w:val="666666"/>
          <w:sz w:val="40"/>
        </w:rPr>
        <w:t>Fragments on First Letter to the Corinthians</w:t>
      </w:r>
    </w:p>
    <w:p>
      <w:pPr>
        <w:jc w:val="center"/>
      </w:pPr>
      <w:r>
        <w:rPr>
          <w:rFonts w:ascii="Times New Roman" w:hAnsi="Times New Roman"/>
          <w:color w:val="1E3A70"/>
          <w:sz w:val="32"/>
        </w:rPr>
        <w:t>Γεννάδιος ὁ Κωνσταντινουπόλεως</w:t>
      </w:r>
      <w:r>
        <w:br/>
      </w:r>
      <w:r>
        <w:rPr>
          <w:i/>
          <w:color w:val="666666"/>
          <w:sz w:val="28"/>
        </w:rPr>
        <w:t>by Gennadius Constantinople</w:t>
      </w:r>
    </w:p>
    <w:p/>
    <w:p>
      <w:r>
        <w:rPr>
          <w:rFonts w:ascii="Courier New" w:hAnsi="Courier New"/>
          <w:color w:val="555555"/>
          <w:sz w:val="20"/>
        </w:rPr>
        <w:t>[6t]</w:t>
      </w:r>
    </w:p>
    <w:p>
      <w:pPr>
        <w:jc w:val="center"/>
      </w:pPr>
      <w:r>
        <w:rPr>
          <w:rFonts w:ascii="Gentium Plus" w:hAnsi="Gentium Plus"/>
          <w:b/>
          <w:sz w:val="24"/>
        </w:rPr>
        <w:t>1 Kor 10,1—5</w:t>
      </w:r>
    </w:p>
    <w:p>
      <w:r>
        <w:rPr>
          <w:rFonts w:ascii="Courier New" w:hAnsi="Courier New"/>
          <w:color w:val="555555"/>
          <w:sz w:val="20"/>
        </w:rPr>
        <w:t>[7]</w:t>
      </w:r>
    </w:p>
    <w:p>
      <w:r>
        <w:rPr>
          <w:rFonts w:ascii="Gentium Plus" w:hAnsi="Gentium Plus"/>
          <w:sz w:val="24"/>
        </w:rPr>
        <w:t>Ἐν τούτοις ἀπὸ τῆς τῶν παλαιῶν αὐτοὺς παραθέσεως παιδεῦσαι βούλεται τὰ προσήκοντα, δεικνὺς κἀκείνους καθάπερ ἔν τινι τύπῳ τῶν ἴσων ἀξιωθέντας· οὕτω γὰρ καταλλήλου φαινομένου τοῦ παραδείγματος</w:t>
      </w:r>
    </w:p>
    <w:p>
      <w:r>
        <w:rPr>
          <w:rFonts w:ascii="Courier New" w:hAnsi="Courier New"/>
          <w:color w:val="555555"/>
          <w:sz w:val="20"/>
        </w:rPr>
        <w:t>[10]</w:t>
      </w:r>
    </w:p>
    <w:p>
      <w:r>
        <w:rPr>
          <w:rFonts w:ascii="Gentium Plus" w:hAnsi="Gentium Plus"/>
          <w:sz w:val="24"/>
        </w:rPr>
        <w:t>εὑρίσκετο δικαίως αὐτοῖς παραινῶν μὴ τὰ ὅμοια πλημμελεῖν, ἵνα μὴ τὰ ὅμοια πείσωνται. τὸ μὲν οὖν ὑπὸ τὴν νεφέλην αὐτοὺς εἶναι δήλωσις ἦν τῆς τοῦ πνεύματος χάριτος· ἐκείνους τε γὰρ ἡ νεφέλη σκιάζουσα τῆς ἐκ τῶν Αἰγυπτίων βλάβης ἀπήλλαττεν, καὶ ἡμᾶς ἡ χάρις τῆς δαιμονικῆς ἐξαιρεῖται κακίας. τὸ δὲ διὰ τῆς θαλάσσης αὐτοὺς διελθεῖν</w:t>
      </w:r>
    </w:p>
    <w:p>
      <w:r>
        <w:rPr>
          <w:rFonts w:ascii="Courier New" w:hAnsi="Courier New"/>
          <w:color w:val="555555"/>
          <w:sz w:val="20"/>
        </w:rPr>
        <w:t>[15]</w:t>
      </w:r>
    </w:p>
    <w:p>
      <w:r>
        <w:rPr>
          <w:rFonts w:ascii="Gentium Plus" w:hAnsi="Gentium Plus"/>
          <w:sz w:val="24"/>
        </w:rPr>
        <w:t>ἔοικε κατὰ τοῦτο τοῖς ἡμετέροις, ὅτι ὅπερ ἐκείνοις ἡ διὰ τῆς θαλάσσης παρέσχε διάβασις, τῶν μὲν πολεμίων αὐτοὺς παντελῶς ἀπαλλάξασα, βεβαίαν δὲ αὐτοὺς τοῦ λοιποῦ τὴν ἐλευθερίαν δωρησαμένη, τοῦτο ἡμῖν πρὸς τοὺς ἡμετέρους ἐχθροὺς τὸ βάπτισμα γέγονεν. τὸ δὲ εἰς τὸν Μωϋσῆν ἐβαπτίσαντο ἐν τῇ νεφέλῃ καὶ ἐν τῇ θαλάσσῃ,</w:t>
      </w:r>
    </w:p>
    <w:p>
      <w:r>
        <w:rPr>
          <w:rFonts w:ascii="Courier New" w:hAnsi="Courier New"/>
          <w:color w:val="555555"/>
          <w:sz w:val="20"/>
        </w:rPr>
        <w:t>[20]</w:t>
      </w:r>
    </w:p>
    <w:p>
      <w:r>
        <w:rPr>
          <w:rFonts w:ascii="Gentium Plus" w:hAnsi="Gentium Plus"/>
          <w:sz w:val="24"/>
        </w:rPr>
        <w:t>σημαίνει τοῦτο ὅτι καθάπερ ἐκεῖνοι τούτων τυχόντες ὑπέσχοντο τοῖς Μωϋσαικοῖς νόμοις βιοῦν, οὕτω καὶ ἡμεῖς ἐν τῷ βαπτίσματι τὸ τῆς υἱοθεσίας κομιζόμενοι πνεῦμα, συνθήκας καὶ ὁμολογίας τιθέμεθα τοῦ κατὰ τὰς Χριστοῦ λοιπὸν ζῆν ἐντολάς.</w:t>
      </w:r>
    </w:p>
    <w:p>
      <w:r>
        <w:rPr>
          <w:rFonts w:ascii="Courier New" w:hAnsi="Courier New"/>
          <w:color w:val="555555"/>
          <w:sz w:val="20"/>
        </w:rPr>
        <w:t>[23t]</w:t>
      </w:r>
    </w:p>
    <w:p>
      <w:pPr>
        <w:jc w:val="center"/>
      </w:pPr>
      <w:r>
        <w:rPr>
          <w:rFonts w:ascii="Gentium Plus" w:hAnsi="Gentium Plus"/>
          <w:b/>
          <w:sz w:val="24"/>
        </w:rPr>
        <w:t>1 Kor 12,28</w:t>
      </w:r>
    </w:p>
    <w:p>
      <w:r>
        <w:rPr>
          <w:rFonts w:ascii="Courier New" w:hAnsi="Courier New"/>
          <w:color w:val="555555"/>
          <w:sz w:val="20"/>
        </w:rPr>
        <w:t>[24]</w:t>
      </w:r>
    </w:p>
    <w:p>
      <w:r>
        <w:rPr>
          <w:rFonts w:ascii="Gentium Plus" w:hAnsi="Gentium Plus"/>
          <w:sz w:val="24"/>
        </w:rPr>
        <w:t>τὰ ἐνεργήματα δηλονότι τῶν δυνάμεων.</w:t>
      </w:r>
    </w:p>
    <w:p>
      <w:r>
        <w:rPr>
          <w:rFonts w:ascii="Courier New" w:hAnsi="Courier New"/>
          <w:color w:val="555555"/>
          <w:sz w:val="20"/>
        </w:rPr>
        <w:t>[24t]</w:t>
      </w:r>
    </w:p>
    <w:p>
      <w:pPr>
        <w:jc w:val="center"/>
      </w:pPr>
      <w:r>
        <w:rPr>
          <w:rFonts w:ascii="Gentium Plus" w:hAnsi="Gentium Plus"/>
          <w:b/>
          <w:sz w:val="24"/>
        </w:rPr>
        <w:t>1 Kor 13,2</w:t>
      </w:r>
    </w:p>
    <w:p>
      <w:r>
        <w:rPr>
          <w:rFonts w:ascii="Courier New" w:hAnsi="Courier New"/>
          <w:color w:val="555555"/>
          <w:sz w:val="20"/>
        </w:rPr>
        <w:t>[25]</w:t>
      </w:r>
    </w:p>
    <w:p>
      <w:r>
        <w:rPr>
          <w:rFonts w:ascii="Gentium Plus" w:hAnsi="Gentium Plus"/>
          <w:sz w:val="24"/>
        </w:rPr>
        <w:t>Νῦν πίστιν οὐ τὴν τῶν πιστῶν ἔφη, τὴν κοινὴν καὶ καθολικήν, ἀλλὰ τὸ χάρισμα τὸ τῆς πίστεως· ἦν γάρ τι χαρίσματος εἶδος ὁμωνύμως οὕτω τῇ πίστει λεγόμενον, ὅθεν ἐπὶ φανερώσει πνευματικῆς μετουσίας</w:t>
      </w:r>
    </w:p>
    <w:p>
      <w:r>
        <w:rPr>
          <w:rFonts w:ascii="Courier New" w:hAnsi="Courier New"/>
          <w:color w:val="555555"/>
          <w:sz w:val="20"/>
        </w:rPr>
        <w:t>[419]</w:t>
      </w:r>
    </w:p>
    <w:p>
      <w:r>
        <w:rPr>
          <w:rFonts w:ascii="Gentium Plus" w:hAnsi="Gentium Plus"/>
          <w:sz w:val="24"/>
        </w:rPr>
        <w:t>ἐν Εὐαγγελίοις φησίν· ἐὰν ἔχητε πίστιν ὡς κόκκον σινάπεως, ἐρεῖτε τῷ ὄρει τούτῳ· ἄρθητι καὶ βλήθητι εἰς τὴν θάλασσαν, καὶ γενήσεται οὕτως. οὐδήπου γὰρ ὡς πρὸς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