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Μετρικὴ εἰσαγωγή</w:t>
      </w:r>
      <w:r>
        <w:br/>
      </w:r>
      <w:r>
        <w:rPr>
          <w:i/>
          <w:color w:val="666666"/>
          <w:sz w:val="40"/>
        </w:rPr>
        <w:t>Metric Introduction</w:t>
      </w:r>
    </w:p>
    <w:p>
      <w:pPr>
        <w:jc w:val="center"/>
      </w:pPr>
      <w:r>
        <w:rPr>
          <w:rFonts w:ascii="Times New Roman" w:hAnsi="Times New Roman"/>
          <w:color w:val="1E3A70"/>
          <w:sz w:val="32"/>
        </w:rPr>
        <w:t>Ἡφαιστίων ὁ Ἀλεξανδρεύς</w:t>
      </w:r>
      <w:r>
        <w:br/>
      </w:r>
      <w:r>
        <w:rPr>
          <w:i/>
          <w:color w:val="666666"/>
          <w:sz w:val="28"/>
        </w:rPr>
        <w:t>by Hephaestion of Alexandria</w:t>
      </w:r>
    </w:p>
    <w:p/>
    <w:p>
      <w:pPr>
        <w:jc w:val="center"/>
      </w:pPr>
      <w:r>
        <w:rPr>
          <w:rFonts w:ascii="Gentium Plus" w:hAnsi="Gentium Plus"/>
          <w:b/>
          <w:sz w:val="24"/>
        </w:rPr>
        <w:t>ΗΦΑΙΣΤΙΩΝΟΣ ΜΕΤΡΙΚΗΣ ΕΙΣΑΓΩΓΗΣ</w:t>
      </w:r>
    </w:p>
    <w:p>
      <w:pPr>
        <w:jc w:val="center"/>
      </w:pPr>
      <w:r>
        <w:rPr>
          <w:rFonts w:ascii="Gentium Plus" w:hAnsi="Gentium Plus"/>
          <w:b/>
          <w:sz w:val="24"/>
        </w:rPr>
        <w:t>Περὶ ποιήματος.</w:t>
      </w:r>
    </w:p>
    <w:p>
      <w:r>
        <w:rPr>
          <w:rFonts w:ascii="Courier New" w:hAnsi="Courier New"/>
          <w:color w:val="555555"/>
          <w:sz w:val="20"/>
        </w:rPr>
        <w:t>[14]</w:t>
      </w:r>
    </w:p>
    <w:p>
      <w:r>
        <w:rPr>
          <w:rFonts w:ascii="Gentium Plus" w:hAnsi="Gentium Plus"/>
          <w:sz w:val="24"/>
        </w:rPr>
        <w:t>Τῶν ποιημάτων τὰ μέν ἐστι κατὰ στίχον, τὰ</w:t>
      </w:r>
    </w:p>
    <w:p>
      <w:r>
        <w:rPr>
          <w:rFonts w:ascii="Courier New" w:hAnsi="Courier New"/>
          <w:color w:val="555555"/>
          <w:sz w:val="20"/>
        </w:rPr>
        <w:t>[15]</w:t>
      </w:r>
    </w:p>
    <w:p>
      <w:r>
        <w:rPr>
          <w:rFonts w:ascii="Gentium Plus" w:hAnsi="Gentium Plus"/>
          <w:sz w:val="24"/>
        </w:rPr>
        <w:t>δὲ συστηματικά, τὰ δὲ μικτά, τὰ δὲ κοινά. Κατὰ στίχον μὲν ὅσα ὑπὸ τοῦ αὐτοῦ μέτρου κατα‐ μετρεῖται, ὡς τὰ Ὁμήρου καὶ τῶν ἐποποιῶν ἔπη· κατα‐ χρηστικῶς δὲ κἂν ὑπὸ κώλου ἢ κόμματος, ὡς τὸ Καλλιμάχειον τοῦτο ποιημάτιον (118)</w:t>
      </w:r>
    </w:p>
    <w:p>
      <w:r>
        <w:rPr>
          <w:rFonts w:ascii="Courier New" w:hAnsi="Courier New"/>
          <w:color w:val="555555"/>
          <w:sz w:val="20"/>
        </w:rPr>
        <w:t>[20]</w:t>
      </w:r>
    </w:p>
    <w:p>
      <w:r>
        <w:rPr>
          <w:rFonts w:ascii="Gentium Plus" w:hAnsi="Gentium Plus"/>
          <w:sz w:val="24"/>
        </w:rPr>
        <w:t>ἡ παῖς ἡ κατάκλειστος,</w:t>
      </w:r>
    </w:p>
    <w:p>
      <w:r>
        <w:rPr>
          <w:rFonts w:ascii="Courier New" w:hAnsi="Courier New"/>
          <w:color w:val="555555"/>
          <w:sz w:val="20"/>
        </w:rPr>
        <w:t>[59]</w:t>
      </w:r>
    </w:p>
    <w:p>
      <w:r>
        <w:rPr>
          <w:rFonts w:ascii="Gentium Plus" w:hAnsi="Gentium Plus"/>
          <w:sz w:val="24"/>
        </w:rPr>
        <w:t>καταμετρεῖται γὰρ ὑπὸ κόμματος ἀντισπαστικοῦ, καλου‐ μένου Φερεκρατείου. Συστηματικὰ δὲ ὅσα ὑπὸ πλειόνων μέτρων εἰς ἓν σῶμα παραληφθέντων καταμετρεῖται ἢ συμπληροῦται.</w:t>
      </w:r>
    </w:p>
    <w:p>
      <w:r>
        <w:rPr>
          <w:rFonts w:ascii="Courier New" w:hAnsi="Courier New"/>
          <w:color w:val="555555"/>
          <w:sz w:val="20"/>
        </w:rPr>
        <w:t>[5]</w:t>
      </w:r>
    </w:p>
    <w:p>
      <w:r>
        <w:rPr>
          <w:rFonts w:ascii="Gentium Plus" w:hAnsi="Gentium Plus"/>
          <w:sz w:val="24"/>
        </w:rPr>
        <w:t>Μικτὰ δὲ ὅσα μέρος μέν τι ἔχει ὑπὸ στίχου κατα‐ μετρούμενον, μέρος δὲ συστηματικόν. Κοινὰ δὲ ὅσα ὑπὸ συστήματος μὲν καταμετρεῖται, αὐτὸ δὲ τὸ σύστημα ἔχει πληρούμενον, οἷά ἐστι τὰ ἐν τῷ δευτέρῳ καὶ τρίτῳ Σαπφοῦς· ἐν οἷς καταμετρεῖται</w:t>
      </w:r>
    </w:p>
    <w:p>
      <w:r>
        <w:rPr>
          <w:rFonts w:ascii="Courier New" w:hAnsi="Courier New"/>
          <w:color w:val="555555"/>
          <w:sz w:val="20"/>
        </w:rPr>
        <w:t>[10]</w:t>
      </w:r>
    </w:p>
    <w:p>
      <w:r>
        <w:rPr>
          <w:rFonts w:ascii="Gentium Plus" w:hAnsi="Gentium Plus"/>
          <w:sz w:val="24"/>
        </w:rPr>
        <w:t>μὲν ὑπὸ διστιχίας, αὐτὴ δὲ ἡ διστιχία ὁμοία ἐστί. 〈Καὶ τὰ μέν ἐστι〉 κατὰ σχέσιν, τὰ δὲ ἀπολελυ‐ μένα, τὰ δὲ ἐξ ὁμοίων, τὰ δὲ μετρικὰ ἄτακτα, τὰ δὲ μικτά, τὰ δὲ κοινά. Καὶ κατὰ σχέσιν μέν ἐστιν, ὅσα μετρεῖται ὑπὸ</w:t>
      </w:r>
    </w:p>
    <w:p>
      <w:r>
        <w:rPr>
          <w:rFonts w:ascii="Courier New" w:hAnsi="Courier New"/>
          <w:color w:val="555555"/>
          <w:sz w:val="20"/>
        </w:rPr>
        <w:t>[15]</w:t>
      </w:r>
    </w:p>
    <w:p>
      <w:r>
        <w:rPr>
          <w:rFonts w:ascii="Gentium Plus" w:hAnsi="Gentium Plus"/>
          <w:sz w:val="24"/>
        </w:rPr>
        <w:t>συστήματος, καλεῖται δὲ οὕτως διὰ τὸ 〈κατὰ〉 σχέσιν τινὰ πρὸς ἄλληλα τὰ ἐν τῷ ποιήματι συστήματα κατα‐ μετρεῖσθαι. Ἐξ ὁμοίων δὲ ὅσα ἐκ τοῦ αὐτοῦ ποδός ἐστιν ἢ τῆς αὐτῆς συζυγίας ἢ τῆς αὐτῆς περιόδου ἀρχικῆς,</w:t>
      </w:r>
    </w:p>
    <w:p>
      <w:r>
        <w:rPr>
          <w:rFonts w:ascii="Courier New" w:hAnsi="Courier New"/>
          <w:color w:val="555555"/>
          <w:sz w:val="20"/>
        </w:rPr>
        <w:t>[20]</w:t>
      </w:r>
    </w:p>
    <w:p>
      <w:r>
        <w:rPr>
          <w:rFonts w:ascii="Gentium Plus" w:hAnsi="Gentium Plus"/>
          <w:sz w:val="24"/>
        </w:rPr>
        <w:t>οὔτε ὑπὸ στίχου οὔτε ὑπὸ συστήματος καταμετρούμενα.</w:t>
      </w:r>
    </w:p>
    <w:p>
      <w:r>
        <w:rPr>
          <w:rFonts w:ascii="Courier New" w:hAnsi="Courier New"/>
          <w:color w:val="555555"/>
          <w:sz w:val="20"/>
        </w:rPr>
        <w:t>[60]</w:t>
      </w:r>
    </w:p>
    <w:p>
      <w:r>
        <w:rPr>
          <w:rFonts w:ascii="Gentium Plus" w:hAnsi="Gentium Plus"/>
          <w:sz w:val="24"/>
        </w:rPr>
        <w:t>μένων συνέστηκε, τάξιν δὲ καὶ ἀνακύκλησιν οὐκ ἔχει, οὔτε κατὰ στίχον οὔτε συστηματικά· οἷός ἐστιν ὁ Μαρ‐ γίτης ὁ εἰς Ὅμηρον ἀναφερόμενος, ἐν ᾧ παρέσπαρται τοῖς ἔπεσιν ἰαμβικά, καὶ ταῦτα οὐ κατ’ ἴσον σύστημα.</w:t>
      </w:r>
    </w:p>
    <w:p>
      <w:r>
        <w:rPr>
          <w:rFonts w:ascii="Courier New" w:hAnsi="Courier New"/>
          <w:color w:val="555555"/>
          <w:sz w:val="20"/>
        </w:rPr>
        <w:t>[5]</w:t>
      </w:r>
    </w:p>
    <w:p>
      <w:r>
        <w:rPr>
          <w:rFonts w:ascii="Gentium Plus" w:hAnsi="Gentium Plus"/>
          <w:sz w:val="24"/>
        </w:rPr>
        <w:t>τοιοῦτόν ἐστι καὶ τὸ Σιμωνίδειον ἐπίγραμμα (Sim. 188) Ἴσθμια δίς, Νεμέᾳ δίς, Ὀλυμπίᾳ ἐστεφανώθην, οὐ πλάτεϊ νικῶν σώματος, ἀλλὰ τέχνᾳ, Ἀριστόδαμος Θράσυος Ἀλεῖος πάλᾳ. Μικτὰ δὲ ὅσα μέρος μέν τι ἔχει κατὰ σχέσιν,</w:t>
      </w:r>
    </w:p>
    <w:p>
      <w:r>
        <w:rPr>
          <w:rFonts w:ascii="Courier New" w:hAnsi="Courier New"/>
          <w:color w:val="555555"/>
          <w:sz w:val="20"/>
        </w:rPr>
        <w:t>[10]</w:t>
      </w:r>
    </w:p>
    <w:p>
      <w:r>
        <w:rPr>
          <w:rFonts w:ascii="Gentium Plus" w:hAnsi="Gentium Plus"/>
          <w:sz w:val="24"/>
        </w:rPr>
        <w:t>μέρος δέ τι ἀπολελυμένον ἢ ἐξ ὁμοίων. Κοινὰ δὲ ὅσα καθ’ ἑτέραν μὲν ἰδέαν γέγραπται τοῦ συστήματος, δύναται δὲ καὶ καθ’ ἑτέραν γεγρά‐ φθαι δοκεῖν· οἷον, φέρ’ εἰπεῖν, ἐξ ὁμοίων ὄντα κατὰ σχέσιν δοκεῖν γεγράφθαι.</w:t>
      </w:r>
    </w:p>
    <w:p>
      <w:r>
        <w:rPr>
          <w:rFonts w:ascii="Courier New" w:hAnsi="Courier New"/>
          <w:color w:val="555555"/>
          <w:sz w:val="20"/>
        </w:rPr>
        <w:t>[15]</w:t>
      </w:r>
    </w:p>
    <w:p>
      <w:r>
        <w:rPr>
          <w:rFonts w:ascii="Gentium Plus" w:hAnsi="Gentium Plus"/>
          <w:sz w:val="24"/>
        </w:rPr>
        <w:t>Τοσαῦτα μὲν δὴ ταῦτα. Πάλιν δὲ ἕκαστα τῶν προειρημένων ὑποδιαιρε‐ τέον. Τῶν γὰρ κατὰ σχέσιν τὰ μέν ἐστι μονοστροφικά, τὰ δὲ ἐπῳδικά, τὰ δὲ κατὰ περικοπὴν ἀνομοιομερῆ, τὰ δὲ ἀντιθετικά, τὰ δὲ μικτὰ κατὰ σχέσιν, 〈τὰ δὲ κοινὰ</w:t>
      </w:r>
    </w:p>
    <w:p>
      <w:r>
        <w:rPr>
          <w:rFonts w:ascii="Courier New" w:hAnsi="Courier New"/>
          <w:color w:val="555555"/>
          <w:sz w:val="20"/>
        </w:rPr>
        <w:t>[20]</w:t>
      </w:r>
    </w:p>
    <w:p>
      <w:r>
        <w:rPr>
          <w:rFonts w:ascii="Gentium Plus" w:hAnsi="Gentium Plus"/>
          <w:sz w:val="24"/>
        </w:rPr>
        <w:t>κατὰ σχέσιν〉. Τὰ μὲν οὖν μονοστροφικά ἐστιν, ὁπόσα ὑπὸ μιᾶς</w:t>
      </w:r>
    </w:p>
    <w:p>
      <w:r>
        <w:rPr>
          <w:rFonts w:ascii="Courier New" w:hAnsi="Courier New"/>
          <w:color w:val="555555"/>
          <w:sz w:val="20"/>
        </w:rPr>
        <w:t>[61]</w:t>
      </w:r>
    </w:p>
    <w:p>
      <w:r>
        <w:rPr>
          <w:rFonts w:ascii="Gentium Plus" w:hAnsi="Gentium Plus"/>
          <w:sz w:val="24"/>
        </w:rPr>
        <w:t>Τὰ δὲ .............. .................... ἐπῳδικὰ καλεῖται, ἐὰν δὲ ἐν τῇ πρώτῃ, προῳδικά, ἐὰν δὲ ἐν μέσῳ, μεσῳδικά. Ταῦτα μὲν οὖν καὶ ἐν τριάσιν</w:t>
      </w:r>
    </w:p>
    <w:p>
      <w:r>
        <w:rPr>
          <w:rFonts w:ascii="Courier New" w:hAnsi="Courier New"/>
          <w:color w:val="555555"/>
          <w:sz w:val="20"/>
        </w:rPr>
        <w:t>[5]</w:t>
      </w:r>
    </w:p>
    <w:p>
      <w:r>
        <w:rPr>
          <w:rFonts w:ascii="Gentium Plus" w:hAnsi="Gentium Plus"/>
          <w:sz w:val="24"/>
        </w:rPr>
        <w:t>ὁρᾶται· ἐὰν δὲ ὑπερεξαγάγῃ τὴν τριάδα, γίνονται καὶ ἄλλαι ἰδέαι δύο. ἤτοι γὰρ περιῳδικά ἐστιν, ὅταν αἱ μὲν ἑκατέρωθεν ἀνόμοιοι ὦσιν 〈ἀλλήλαις, αἱ δὲ ἐν μέσῳ〉 ἀλλήλαις μὲν ὅμοιαι, ταῖς δὲ περιεχούσαις ἀν‐ όμοιοι· ἢ παλινῳδικά, ὅταν αἱ ἑκατέρωθεν ἀλλήλαις</w:t>
      </w:r>
    </w:p>
    <w:p>
      <w:r>
        <w:rPr>
          <w:rFonts w:ascii="Courier New" w:hAnsi="Courier New"/>
          <w:color w:val="555555"/>
          <w:sz w:val="20"/>
        </w:rPr>
        <w:t>[10]</w:t>
      </w:r>
    </w:p>
    <w:p>
      <w:r>
        <w:rPr>
          <w:rFonts w:ascii="Gentium Plus" w:hAnsi="Gentium Plus"/>
          <w:sz w:val="24"/>
        </w:rPr>
        <w:t>μὲν ὦσιν ὅμοιαι, 〈ταῖς δὲ ἐν μέσῳ ἀνόμοιοι〉 καὶ αἱ ἐν μέσῳ ταῖς μὲν περιεχούσαις ἀνόμοιοι, 〈ἀλλήλαις δὲ ὅμοιαι〉. Τὰ δὲ κατὰ περικοπὴν ἀνομοιομερῆ τὰς μὲν περι‐ κοπὰς ὁμοίας ἀλλήλαις ἔχει, τὰς δὲ ἐν ταῖς περικοπαῖς</w:t>
      </w:r>
    </w:p>
    <w:p>
      <w:r>
        <w:rPr>
          <w:rFonts w:ascii="Courier New" w:hAnsi="Courier New"/>
          <w:color w:val="555555"/>
          <w:sz w:val="20"/>
        </w:rPr>
        <w:t>[15]</w:t>
      </w:r>
    </w:p>
    <w:p>
      <w:r>
        <w:rPr>
          <w:rFonts w:ascii="Gentium Plus" w:hAnsi="Gentium Plus"/>
          <w:sz w:val="24"/>
        </w:rPr>
        <w:t>περιόδους ἀνομοίους· καλεῖται δὲ τὰ μὲν δυαδικά, ὅσα δύο τὰς ἐν τῇ περικοπῇ περιόδους ἔχει, τὰ δὲ τρια‐ δικά, ὅσα τρεῖς, τὰ δὲ τετραδικά, ὅσα τέσσαρας· καὶ ἐπὶ τῶν ἑξῆς κατὰ τὸν αὐτὸν λόγον.</w:t>
      </w:r>
    </w:p>
    <w:p>
      <w:r>
        <w:rPr>
          <w:rFonts w:ascii="Courier New" w:hAnsi="Courier New"/>
          <w:color w:val="555555"/>
          <w:sz w:val="20"/>
        </w:rPr>
        <w:t>[62]</w:t>
      </w:r>
    </w:p>
    <w:p>
      <w:r>
        <w:rPr>
          <w:rFonts w:ascii="Gentium Plus" w:hAnsi="Gentium Plus"/>
          <w:sz w:val="24"/>
        </w:rPr>
        <w:t>οὐ μέντοι κατὰ τὴν αὐτὴν τάξιν παραβάλλεται ἀλλήλοις τὰ ἀντιστρέφοντα, τὸ πρῶτον τῷ πρώτῳ ... παραβάλ‐ λεσθαι, τὸ 〈δὲ〉 δεύτερον ἀπὸ τέλους τῷ δευτέρῳ ἀπ’ ἀρχῆς· τὸ δὲ τρίτον ἀπὸ τέλους τῷ τρίτῳ· καὶ ἐπὶ</w:t>
      </w:r>
    </w:p>
    <w:p>
      <w:r>
        <w:rPr>
          <w:rFonts w:ascii="Courier New" w:hAnsi="Courier New"/>
          <w:color w:val="555555"/>
          <w:sz w:val="20"/>
        </w:rPr>
        <w:t>[5]</w:t>
      </w:r>
    </w:p>
    <w:p>
      <w:r>
        <w:rPr>
          <w:rFonts w:ascii="Gentium Plus" w:hAnsi="Gentium Plus"/>
          <w:sz w:val="24"/>
        </w:rPr>
        <w:t>τῶν λοιπῶν οὕτω. ταύτης τῆς ἰδέας ἐστὶ τὸ Ὠιὸν τὸ Σιμίου καὶ ἄλλα παίγνια. Μικτὰ δὲ κατὰ σχέσιν ἐστίν, ὅσα ἐκ μερῶν ἐστιν, πάντων μὲν κατὰ σχέσιν, ἀνομοίων δὲ ἀλλήλοις κατὰ τὴν ἰδέαν, 〈οἷον〉 ἔκ τε ἐπῳδικῶν καὶ μονοστροφικῶν,</w:t>
      </w:r>
    </w:p>
    <w:p>
      <w:r>
        <w:rPr>
          <w:rFonts w:ascii="Courier New" w:hAnsi="Courier New"/>
          <w:color w:val="555555"/>
          <w:sz w:val="20"/>
        </w:rPr>
        <w:t>[10]</w:t>
      </w:r>
    </w:p>
    <w:p>
      <w:r>
        <w:rPr>
          <w:rFonts w:ascii="Gentium Plus" w:hAnsi="Gentium Plus"/>
          <w:sz w:val="24"/>
        </w:rPr>
        <w:t>ἢ κατὰ περικοπήν. Κοινὰ δέ ἐστι κατὰ σχέσιν, ὅσα καθ’ ἑτέραν μὲν ἰδέαν τῶν κατὰ σχέσιν γέγραπται, δύναται δὲ καὶ καθ’ ἑτέραν γεγράφθαι δοκεῖν, οἷον, εἰ μονοστροφικῶς γρα‐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