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Μαρτυρίαι</w:t>
      </w:r>
      <w:r>
        <w:br/>
      </w:r>
      <w:r>
        <w:rPr>
          <w:i/>
          <w:color w:val="666666"/>
          <w:sz w:val="40"/>
        </w:rPr>
        <w:t>Testimonies</w:t>
      </w:r>
    </w:p>
    <w:p>
      <w:pPr>
        <w:jc w:val="center"/>
      </w:pPr>
      <w:r>
        <w:rPr>
          <w:rFonts w:ascii="Times New Roman" w:hAnsi="Times New Roman"/>
          <w:color w:val="1E3A70"/>
          <w:sz w:val="32"/>
        </w:rPr>
        <w:t>Ἑρμησιάναξ ὁ Κολοφωνεύς</w:t>
      </w:r>
      <w:r>
        <w:br/>
      </w:r>
      <w:r>
        <w:rPr>
          <w:i/>
          <w:color w:val="666666"/>
          <w:sz w:val="28"/>
        </w:rPr>
        <w:t>by Hermesianax of Colophon</w:t>
      </w:r>
    </w:p>
    <w:p/>
    <w:p>
      <w:r>
        <w:rPr>
          <w:rFonts w:ascii="Courier New" w:hAnsi="Courier New"/>
          <w:color w:val="555555"/>
          <w:sz w:val="20"/>
        </w:rPr>
        <w:t>[3c,691,T 1]</w:t>
      </w:r>
    </w:p>
    <w:p>
      <w:r>
        <w:rPr>
          <w:rFonts w:ascii="Gentium Plus" w:hAnsi="Gentium Plus"/>
          <w:sz w:val="24"/>
        </w:rPr>
        <w:t>SCHOL. NIKAND. Ther. 3: φίλ’ Ἑρμησιάναξ, πολέων κυ‐ δίστατε παῶν] ὁ Ἑρμησιάναξ οὗτος φίλος τῶι Φιλητᾶι καὶ γνώριμος ἦν· τούτωι δὲ τὰ Περσικὰ γέγραπται καὶ τὰ εἰς Λεόντιον τὴν ἐρωμένην. οὐ δύναται δὲ Νίκανδρος μνημονεύειν τούτου διὰ τῆς προσφωνήσεως διὰ τὸ τὸν Φιλητᾶν</w:t>
      </w:r>
    </w:p>
    <w:p>
      <w:r>
        <w:rPr>
          <w:rFonts w:ascii="Courier New" w:hAnsi="Courier New"/>
          <w:color w:val="555555"/>
          <w:sz w:val="20"/>
        </w:rPr>
        <w:t>[5]</w:t>
      </w:r>
    </w:p>
    <w:p>
      <w:r>
        <w:rPr>
          <w:rFonts w:ascii="Gentium Plus" w:hAnsi="Gentium Plus"/>
          <w:sz w:val="24"/>
        </w:rPr>
        <w:t>πρεσβύτερον εἶναι Νικάνδρου· καὶ αὐτὸς δὲ ὁ Νίκανδρος μέμνηται τοῦ Ἑρμη‐ σιάνακτος ὡς πρεσβυτέρου ἐν τῶι Περὶ τῶν ἐκ Κολοφῶνος ποιητῶν (271/2 F 10). ἔστιν οὖν οὗτος ἑταῖρος Νικάνδρου, ὁμώνυμος τῶι πρώτωι. δῆλον δὲ ὅτι συγγενὴς αὐτοῦ ἦν.</w:t>
      </w:r>
    </w:p>
    <w:p>
      <w:r>
        <w:rPr>
          <w:rFonts w:ascii="Courier New" w:hAnsi="Courier New"/>
          <w:color w:val="555555"/>
          <w:sz w:val="20"/>
        </w:rPr>
        <w:t>[3c,691,T 2]</w:t>
      </w:r>
    </w:p>
    <w:p>
      <w:r>
        <w:rPr>
          <w:rFonts w:ascii="Gentium Plus" w:hAnsi="Gentium Plus"/>
          <w:sz w:val="24"/>
        </w:rPr>
        <w:t>AGATHARCHID. De m. R. 21 (PHOT. Bibl. 250 p. 446 b 33): διὸ καὶ</w:t>
      </w:r>
    </w:p>
    <w:p>
      <w:r>
        <w:rPr>
          <w:rFonts w:ascii="Courier New" w:hAnsi="Courier New"/>
          <w:color w:val="555555"/>
          <w:sz w:val="20"/>
        </w:rPr>
        <w:t>[5]</w:t>
      </w:r>
    </w:p>
    <w:p>
      <w:r>
        <w:rPr>
          <w:rFonts w:ascii="Gentium Plus" w:hAnsi="Gentium Plus"/>
          <w:sz w:val="24"/>
        </w:rPr>
        <w:t>ποιῆσαι τὴν Κύρου δόσιν ἄκυρον;» καὶ τόδε δὲ ὅμοιον· «τόπος δὲ πῶς γένοιτ’</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