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Ἐκ τοῦ ὕμνου πρὸς τὸν παντοκράτορα (fragmentum)</w:t>
      </w:r>
      <w:r>
        <w:br/>
      </w:r>
      <w:r>
        <w:rPr>
          <w:i/>
          <w:color w:val="666666"/>
          <w:sz w:val="40"/>
        </w:rPr>
        <w:t>From the Hymn to the Almighty</w:t>
      </w:r>
    </w:p>
    <w:p>
      <w:pPr>
        <w:jc w:val="center"/>
      </w:pPr>
      <w:r>
        <w:rPr>
          <w:rFonts w:ascii="Times New Roman" w:hAnsi="Times New Roman"/>
          <w:color w:val="1E3A70"/>
          <w:sz w:val="32"/>
        </w:rPr>
        <w:t>Ἑρμητικά</w:t>
      </w:r>
      <w:r>
        <w:br/>
      </w:r>
      <w:r>
        <w:rPr>
          <w:i/>
          <w:color w:val="666666"/>
          <w:sz w:val="28"/>
        </w:rPr>
        <w:t xml:space="preserve">by Hermetica </w:t>
      </w:r>
    </w:p>
    <w:p/>
    <w:p>
      <w:r>
        <w:rPr>
          <w:rFonts w:ascii="Courier New" w:hAnsi="Courier New"/>
          <w:color w:val="555555"/>
          <w:sz w:val="20"/>
        </w:rPr>
        <w:t>[1]</w:t>
      </w:r>
    </w:p>
    <w:p>
      <w:r>
        <w:rPr>
          <w:rFonts w:ascii="Gentium Plus" w:hAnsi="Gentium Plus"/>
          <w:sz w:val="24"/>
        </w:rPr>
        <w:t>ἀκοιμήτου πυρὸς ὄμματι ἐγρήγορε, δρόμον αἰθέρος ζωο‐ γονῶν, ἡλίου θέρμην κρατύνων, λαίλαπι μεθιστῶν νέφη, τοὔνομα μὴ χωρῶν ἐν κόσμῳ· ἄφθιτον ἀέναον πανεπί‐ σκοπον ἐπίφοβον ὄμμα, πατέρα τῶν ὅλων, θεὸν ὄντα μόνον,</w:t>
      </w:r>
    </w:p>
    <w:p>
      <w:r>
        <w:rPr>
          <w:rFonts w:ascii="Courier New" w:hAnsi="Courier New"/>
          <w:color w:val="555555"/>
          <w:sz w:val="20"/>
        </w:rPr>
        <w:t>[5]</w:t>
      </w:r>
    </w:p>
    <w:p>
      <w:r>
        <w:rPr>
          <w:rFonts w:ascii="Gentium Plus" w:hAnsi="Gentium Plus"/>
          <w:sz w:val="24"/>
        </w:rPr>
        <w:t>ἀπ’ οὐδενὸς ἔχοντα ἀρχήν, ἔγνωκα. —ἕνα μετὰ σὲ ὄντα μόνον ἐκ σοῦ γεραίρω υἱόν, ὃν ῥώμῃ ἀπορρήτῳ καὶ ὀξυτέρᾳ φωνῇ ἴδιον εὐθὺς ἀφθόνως καὶ ἀπαθῶς ἀγένητον (Erbse: ἀγενοῦς in one source, ἀγεννήτως in another) λόγον ἐγέν‐ νησας, θεὸν ὄντα τὴν οὐσίαν ἐκ τῆς οὐσίας, ὃς σοῦ τοῦ</w:t>
      </w:r>
    </w:p>
    <w:p>
      <w:r>
        <w:rPr>
          <w:rFonts w:ascii="Courier New" w:hAnsi="Courier New"/>
          <w:color w:val="555555"/>
          <w:sz w:val="20"/>
        </w:rPr>
        <w:t>[10]</w:t>
      </w:r>
    </w:p>
    <w:p>
      <w:r>
        <w:rPr>
          <w:rFonts w:ascii="Gentium Plus" w:hAnsi="Gentium Plus"/>
          <w:sz w:val="24"/>
        </w:rPr>
        <w:t>πατρὸς τὴν εἰκόνα τὴν ἄφθαρτον καὶ πᾶν ὁμοίαν (πανομοίαν Pitra, which I prefer) φέρει, ὥστε εἶναι ἐκεῖνον ἐν σοί, σὲ δὲ ἐν ἐκείνῳ, κάλλους ἔσοπτρον, ἀλληλεύφραντον πρό‐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