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Ἐκλογαὶ ἐκ Διαφόρων Προλεγομένων</w:t>
      </w:r>
      <w:r>
        <w:br/>
      </w:r>
      <w:r>
        <w:rPr>
          <w:i/>
          <w:color w:val="666666"/>
          <w:sz w:val="40"/>
        </w:rPr>
        <w:t>Excerpts from Various Prolegomena</w:t>
      </w:r>
    </w:p>
    <w:p>
      <w:pPr>
        <w:jc w:val="center"/>
      </w:pPr>
      <w:r>
        <w:rPr>
          <w:rFonts w:ascii="Times New Roman" w:hAnsi="Times New Roman"/>
          <w:color w:val="1E3A70"/>
          <w:sz w:val="32"/>
        </w:rPr>
        <w:t>Ἀνώνυμοι εἰς Ἑρμογένην</w:t>
      </w:r>
      <w:r>
        <w:br/>
      </w:r>
      <w:r>
        <w:rPr>
          <w:i/>
          <w:color w:val="666666"/>
          <w:sz w:val="28"/>
        </w:rPr>
        <w:t>by Hermogenes Commentary Anonymous</w:t>
      </w:r>
    </w:p>
    <w:p/>
    <w:p>
      <w:pPr>
        <w:jc w:val="center"/>
      </w:pPr>
      <w:r>
        <w:rPr>
          <w:rFonts w:ascii="Gentium Plus" w:hAnsi="Gentium Plus"/>
          <w:b/>
          <w:sz w:val="24"/>
        </w:rPr>
        <w:t>ΕΚ ΔΙΑΦΟΡΩΝ ΤΙΝΑ ΧΡΗΣΙΜΑ</w:t>
      </w:r>
    </w:p>
    <w:p>
      <w:r>
        <w:rPr>
          <w:rFonts w:ascii="Courier New" w:hAnsi="Courier New"/>
          <w:color w:val="555555"/>
          <w:sz w:val="20"/>
        </w:rPr>
        <w:t>[5]</w:t>
      </w:r>
    </w:p>
    <w:p>
      <w:r>
        <w:rPr>
          <w:rFonts w:ascii="Gentium Plus" w:hAnsi="Gentium Plus"/>
          <w:sz w:val="24"/>
        </w:rPr>
        <w:t>Ὅτι ὅρος λόγου οὗτος ‘ἔννοια κεκριμένη καὶ γνώ‐ μης ἀνθρώπου μήνυσισ‘. γένος ἡ ἔννοια· πάντα γὰρ 〈τὰ〉 ζῷα ἔννοιαν ἔχει. διαφορὰ τὸ κεκριμένη· οὐ γὰρ καὶ τὰ ἄλογα κεκριμένην ἔχει ἔννοιαν. Ἔργον δὲ λόγου ἡ μετ’ αἰτίας πρᾶξις καὶ ἡ προφορὰ τῶν ἐννοιῶν.</w:t>
      </w:r>
    </w:p>
    <w:p>
      <w:r>
        <w:rPr>
          <w:rFonts w:ascii="Courier New" w:hAnsi="Courier New"/>
          <w:color w:val="555555"/>
          <w:sz w:val="20"/>
        </w:rPr>
        <w:t>[10]</w:t>
      </w:r>
    </w:p>
    <w:p>
      <w:r>
        <w:rPr>
          <w:rFonts w:ascii="Gentium Plus" w:hAnsi="Gentium Plus"/>
          <w:sz w:val="24"/>
        </w:rPr>
        <w:t>Ὅτι Λυσίᾳ μεμελέτηται ἰατρικὸν πρόβλημα παρά‐ δοξον ῥητορικῶς μεθοδευθὲν περὶ τοῦ ἀμβλωθριδίου, ἐν ᾧ Ἀντιγένης κατηγορεῖ τῆς ἑαυτοῦ γυναικὸς φόνου ἀμβλω‐ σάσης ἑκουσίως, φάσκων ὡς ἐξήμβλωκε καὶ κεκώλυ‐ κεν αὐτὸν πατέρα κληθῆναι παιδός.</w:t>
      </w:r>
    </w:p>
    <w:p>
      <w:r>
        <w:rPr>
          <w:rFonts w:ascii="Courier New" w:hAnsi="Courier New"/>
          <w:color w:val="555555"/>
          <w:sz w:val="20"/>
        </w:rPr>
        <w:t>[15]</w:t>
      </w:r>
    </w:p>
    <w:p>
      <w:r>
        <w:rPr>
          <w:rFonts w:ascii="Gentium Plus" w:hAnsi="Gentium Plus"/>
          <w:sz w:val="24"/>
        </w:rPr>
        <w:t>Ὅτι ἐπιστήμης ἴδιον τὸ μὴ μεταπίπτειν, οὐ μέντοι καὶ τέχνης· τέχνη γὰρ μεταπίπτειν οἶδε τοῖς περιστα‐ τικοῖς καὶ βιάζεσθαι. αὐτίκα ὁ Δημοσθένης τὴν τῶν ἐλέγχων ἀπαίτησιν καὶ τὴν 〈τοῦ〉 παραγραφικοῦ ἐξέ‐ τασιν ἐν τῷ Κατ’ Αἰσχίνου λόγῳ τελευταίας ἔταξε, τῆς</w:t>
      </w:r>
    </w:p>
    <w:p>
      <w:r>
        <w:rPr>
          <w:rFonts w:ascii="Courier New" w:hAnsi="Courier New"/>
          <w:color w:val="555555"/>
          <w:sz w:val="20"/>
        </w:rPr>
        <w:t>[20]</w:t>
      </w:r>
    </w:p>
    <w:p>
      <w:r>
        <w:rPr>
          <w:rFonts w:ascii="Gentium Plus" w:hAnsi="Gentium Plus"/>
          <w:sz w:val="24"/>
        </w:rPr>
        <w:t>τέχνης ταῦτα πρῶτα εἰδυίας κεφάλαια—ἐξ οὗ δὴ καὶ</w:t>
      </w:r>
    </w:p>
    <w:p>
      <w:r>
        <w:rPr>
          <w:rFonts w:ascii="Courier New" w:hAnsi="Courier New"/>
          <w:color w:val="555555"/>
          <w:sz w:val="20"/>
        </w:rPr>
        <w:t>[14 . 301]</w:t>
      </w:r>
    </w:p>
    <w:p>
      <w:r>
        <w:rPr>
          <w:rFonts w:ascii="Gentium Plus" w:hAnsi="Gentium Plus"/>
          <w:sz w:val="24"/>
        </w:rPr>
        <w:t>παραλιμπάνει τινὰ τῶν εἰωθότων. ταύτῃ πολλοὶ παρὰ τοῖς παλαιοῖς ἀπροοιμίαστοι λόγοι πρὸς τὴν χρείαν οὕ‐ τω λεχθέντες. ἀλλὰ καὶ ἐν τῷ Περὶ στεφάνου Δημοσθέ‐ νης δύο μόνοις τῆς πραγματικῆς κέχρηται κεφαλαίοις</w:t>
      </w:r>
    </w:p>
    <w:p>
      <w:r>
        <w:rPr>
          <w:rFonts w:ascii="Courier New" w:hAnsi="Courier New"/>
          <w:color w:val="555555"/>
          <w:sz w:val="20"/>
        </w:rPr>
        <w:t>[5]</w:t>
      </w:r>
    </w:p>
    <w:p>
      <w:r>
        <w:rPr>
          <w:rFonts w:ascii="Gentium Plus" w:hAnsi="Gentium Plus"/>
          <w:sz w:val="24"/>
        </w:rPr>
        <w:t>οὕτω τοῦ καιροῦ συγχωροῦντος· ὧν οὐδὲν ἐπιστήμη ἔχει, ἀλλὰ καὶ ἐν Λακεδαίμονι καὶ Ἀθήναις καὶ πολέ‐ μου ὄντος καὶ εἰρήνης ἀεὶ τὰ αὐτὰ 〈περὶ τῶν αὐτῶν〉 ἔγνωκέ τε καὶ προφέρει, οἷον ὅτι σφαιροειδὴς ὁ οὐρα‐ νός, ὅτι κέντρου λόγον ἐπέχει ἡ γῆ καὶ εἴ τι τοιοῦτον</w:t>
      </w:r>
    </w:p>
    <w:p>
      <w:r>
        <w:rPr>
          <w:rFonts w:ascii="Courier New" w:hAnsi="Courier New"/>
          <w:color w:val="555555"/>
          <w:sz w:val="20"/>
        </w:rPr>
        <w:t>[10]</w:t>
      </w:r>
    </w:p>
    <w:p>
      <w:r>
        <w:rPr>
          <w:rFonts w:ascii="Gentium Plus" w:hAnsi="Gentium Plus"/>
          <w:sz w:val="24"/>
        </w:rPr>
        <w:t>ἕτερον. ἐν οἷς μέντοι οὐκ ἀλόγως τέχνη τοῖς περιστατι‐ κοῖς ἀμείβει τινὰ τῶν ἑαυτῆς ἢ παραλείπει, ἀλλὰ μετ’ αἰτίας, ἐκφεύγει τὴν ἐμπειρίαν, ἀλόγως ταύτης τὸ ἑαυ‐ τῆς μετερχομένης, ὡσαύτως καὶ ῥητορική. —Ὅτι ἐμπειρίαν τινὲς ἐβουλήθησαν τὴν ῥητορικὴν εἶναι, ὧν</w:t>
      </w:r>
    </w:p>
    <w:p>
      <w:r>
        <w:rPr>
          <w:rFonts w:ascii="Courier New" w:hAnsi="Courier New"/>
          <w:color w:val="555555"/>
          <w:sz w:val="20"/>
        </w:rPr>
        <w:t>[15]</w:t>
      </w:r>
    </w:p>
    <w:p>
      <w:r>
        <w:rPr>
          <w:rFonts w:ascii="Gentium Plus" w:hAnsi="Gentium Plus"/>
          <w:sz w:val="24"/>
        </w:rPr>
        <w:t>ἐστι καὶ Πλάτων φάσκων στοχαστικὴν αὐτὴν εἶναι τῆς τῶν ἀκροατῶν ἐπιθυμίας, καὶ ἐκμιμουμένην τοὺς φθά‐ σαντας τῶν ῥητόρων· καὶ γὰρ ἐκ τοῦ ἑωρακέναι τινὰ ἐκ διαβολῆς ὀργὴν κεκινηκότα τῶν ἀκροατῶν καὶ ἐκ τοῦ ἐλεεινολογεῖσθαι ἀφεθέντα χρῶνται καὶ αὐτοὶ τοῖς</w:t>
      </w:r>
    </w:p>
    <w:p>
      <w:r>
        <w:rPr>
          <w:rFonts w:ascii="Courier New" w:hAnsi="Courier New"/>
          <w:color w:val="555555"/>
          <w:sz w:val="20"/>
        </w:rPr>
        <w:t>[20]</w:t>
      </w:r>
    </w:p>
    <w:p>
      <w:r>
        <w:rPr>
          <w:rFonts w:ascii="Gentium Plus" w:hAnsi="Gentium Plus"/>
          <w:sz w:val="24"/>
        </w:rPr>
        <w:t>αὐτοῖς ἐν τοῖς ὁμοίοις καιροῖς καὶ πράγμασιν. οὐχ οὕ‐ τως δὲ τοῦτο ἔχει· οὐ γὰρ καὶ ἀλόγως τὸ ἑαυτῆς οὕτω ῥητορικὴ μετέρχεται, ὡς διὰ πολλῶν ἤδη δεδήλωται. Ὅτι καὶ τὸ δικανικὸν παρὰ θεοῖς ἦν· καὶ δῆλον ἀφ’ ὧν Ἄρης καὶ Ποσειδῶν ἐν Ἀρείῳ πάγῳ δι’ Ἁλιρρόθιον</w:t>
      </w:r>
    </w:p>
    <w:p>
      <w:r>
        <w:rPr>
          <w:rFonts w:ascii="Courier New" w:hAnsi="Courier New"/>
          <w:color w:val="555555"/>
          <w:sz w:val="20"/>
        </w:rPr>
        <w:t>[25]</w:t>
      </w:r>
    </w:p>
    <w:p>
      <w:r>
        <w:rPr>
          <w:rFonts w:ascii="Gentium Plus" w:hAnsi="Gentium Plus"/>
          <w:sz w:val="24"/>
        </w:rPr>
        <w:t>ἐδικάσαντο. Ὅτι τοῖς περιστατικοῖς χρῆται ῥητορικὴ οὕτως· προσ‐ ώπῳ, οἷον πρὸς Ἀθηναίους ἢ Λακεδαιμονίους· οὐ γὰρ</w:t>
      </w:r>
    </w:p>
    <w:p>
      <w:r>
        <w:rPr>
          <w:rFonts w:ascii="Courier New" w:hAnsi="Courier New"/>
          <w:color w:val="555555"/>
          <w:sz w:val="20"/>
        </w:rPr>
        <w:t>[14 . 302]</w:t>
      </w:r>
    </w:p>
    <w:p>
      <w:r>
        <w:rPr>
          <w:rFonts w:ascii="Gentium Plus" w:hAnsi="Gentium Plus"/>
          <w:sz w:val="24"/>
        </w:rPr>
        <w:t>ἐν δικαστηρίῳ ἢ βουλευτηρίῳ. χρόνῳ, ἐν χειμῶνι ἢ θέρει. αἰτίᾳ, διὰ τὸν πόλεμον ἢ τὴν εἰρήνην ἢ τὴν εὐπο‐ ρίαν ἢ ἀπορίαν. τρόπῳ, οἷον ναυμαχίᾳ ἢ πεζομαχίᾳ χρὴ τοὺς πολεμίους ἀμύνασθαι.</w:t>
      </w:r>
    </w:p>
    <w:p>
      <w:r>
        <w:rPr>
          <w:rFonts w:ascii="Courier New" w:hAnsi="Courier New"/>
          <w:color w:val="555555"/>
          <w:sz w:val="20"/>
        </w:rPr>
        <w:t>[5]</w:t>
      </w:r>
    </w:p>
    <w:p>
      <w:r>
        <w:rPr>
          <w:rFonts w:ascii="Gentium Plus" w:hAnsi="Gentium Plus"/>
          <w:sz w:val="24"/>
        </w:rPr>
        <w:t>Ὅτι σκοπὸς τοῦ βιβλίου περὶ διαιρέσεως πολιτικῶν ζητημάτων εἰπεῖν καὶ πρὸς τὴν τούτων μάθησιν ἡμᾶς ἀναγαγεῖν. Τὸ δὲ χρήσιμον τοῦτο ἂν εἴη τὸ τὰ πολλὰ τῆς ῥητο‐ ρικῆς προβλήματα περιορίζειν καὶ οὐκ ἐᾶν εἰς ἀπέραν‐</w:t>
      </w:r>
    </w:p>
    <w:p>
      <w:r>
        <w:rPr>
          <w:rFonts w:ascii="Courier New" w:hAnsi="Courier New"/>
          <w:color w:val="555555"/>
          <w:sz w:val="20"/>
        </w:rPr>
        <w:t>[10]</w:t>
      </w:r>
    </w:p>
    <w:p>
      <w:r>
        <w:rPr>
          <w:rFonts w:ascii="Gentium Plus" w:hAnsi="Gentium Plus"/>
          <w:sz w:val="24"/>
        </w:rPr>
        <w:t>τον τοὺς λόγους ἐκφέρεσθαι· ὥσπερ καὶ αἱ παρὰ Ἀρι‐ στοτέλει κατηγορίαι εἰς δέκα τὰ γενικώτατα τὸ πλῆ‐ θος τῶν προβλημάτων συνέστειλαν· πᾶν γάρ, ὃ ἄν τις εἴποι, ὑπὸ μίαν τοῦτο τῶν κατηγοριῶν ἐμπεσεῖται. ἄλλως τε δὲ καὶ ἄνευ τοῦ βιβλίου τούτου οὐκ ἔστι λόγον παλαιὸν</w:t>
      </w:r>
    </w:p>
    <w:p>
      <w:r>
        <w:rPr>
          <w:rFonts w:ascii="Courier New" w:hAnsi="Courier New"/>
          <w:color w:val="555555"/>
          <w:sz w:val="20"/>
        </w:rPr>
        <w:t>[15]</w:t>
      </w:r>
    </w:p>
    <w:p>
      <w:r>
        <w:rPr>
          <w:rFonts w:ascii="Gentium Plus" w:hAnsi="Gentium Plus"/>
          <w:sz w:val="24"/>
        </w:rPr>
        <w:t>διελεῖν, ἀλλ’ οὐδὲ νέον. Τὸ δὲ γνήσιον ἤδη προείληπται καὶ ἄλλοις εἰρημέ‐ νον. Ἡ δὲ τάξις αὕτη· τρεῖς εἰσιν αἱ συνεκτικώταται Τέχ‐ ναι ῥητορικαί, ἃς καὶ αὐτὸς Ἑρμογένης συνέγραψεν, ἥ</w:t>
      </w:r>
    </w:p>
    <w:p>
      <w:r>
        <w:rPr>
          <w:rFonts w:ascii="Courier New" w:hAnsi="Courier New"/>
          <w:color w:val="555555"/>
          <w:sz w:val="20"/>
        </w:rPr>
        <w:t>[20]</w:t>
      </w:r>
    </w:p>
    <w:p>
      <w:r>
        <w:rPr>
          <w:rFonts w:ascii="Gentium Plus" w:hAnsi="Gentium Plus"/>
          <w:sz w:val="24"/>
        </w:rPr>
        <w:t>τε τῶν Προγυμνασμάτων καὶ ἡ τῶν Στάσεων αὕτη καὶ ἡ Περὶ τῶν ἰδεῶν. μέσην οὖν ἡ προκειμένη βίβλος τάξιν ἔχει, εἰκότως· μετὰ γὰρ τὴν τῶν μερικῶν διδα‐ σκαλίαν, ἅ ἐστι τὰ προγυμνάσματα, ἔδει καὶ περὶ τε‐ λεωτέρων διαλεχθῆναι. τρίτην δὲ τὸ Περὶ ἰδεῶν ἔχει</w:t>
      </w:r>
    </w:p>
    <w:p>
      <w:r>
        <w:rPr>
          <w:rFonts w:ascii="Courier New" w:hAnsi="Courier New"/>
          <w:color w:val="555555"/>
          <w:sz w:val="20"/>
        </w:rPr>
        <w:t>[25]</w:t>
      </w:r>
    </w:p>
    <w:p>
      <w:r>
        <w:rPr>
          <w:rFonts w:ascii="Gentium Plus" w:hAnsi="Gentium Plus"/>
          <w:sz w:val="24"/>
        </w:rPr>
        <w:t>τάξιν· δεῖ γὰρ πρότερον μαθεῖν, πῶς συνίσταται τὰ πο‐</w:t>
      </w:r>
    </w:p>
    <w:p>
      <w:r>
        <w:rPr>
          <w:rFonts w:ascii="Courier New" w:hAnsi="Courier New"/>
          <w:color w:val="555555"/>
          <w:sz w:val="20"/>
        </w:rPr>
        <w:t>[14 . 303]</w:t>
      </w:r>
    </w:p>
    <w:p>
      <w:r>
        <w:rPr>
          <w:rFonts w:ascii="Gentium Plus" w:hAnsi="Gentium Plus"/>
          <w:sz w:val="24"/>
        </w:rPr>
        <w:t>σομεν, ὅπερ τὸ παρὸν διδάσκει βιβλίον, εἶτα περὶ τῆς φράσεως καὶ τοῦ χαρακτῆρος διαλεχθῆναι. δύο γὰρ ὄν‐ των τῶν τὴν ῥητορικὴν κοσμούντων, δυνατοῦ καὶ ἡδέος, τὸ μὲν δυνατὸν διὰ τῆς παρούσης μανθάνομεν πραγμα‐</w:t>
      </w:r>
    </w:p>
    <w:p>
      <w:r>
        <w:rPr>
          <w:rFonts w:ascii="Courier New" w:hAnsi="Courier New"/>
          <w:color w:val="555555"/>
          <w:sz w:val="20"/>
        </w:rPr>
        <w:t>[5]</w:t>
      </w:r>
    </w:p>
    <w:p>
      <w:r>
        <w:rPr>
          <w:rFonts w:ascii="Gentium Plus" w:hAnsi="Gentium Plus"/>
          <w:sz w:val="24"/>
        </w:rPr>
        <w:t>τείας, τὸ δὲ ἡδὺ διὰ τοῦ Περὶ ἰδεῶν· διδάσκει γὰρ ἐκεῖνο ποικίλλειν τὴν φράσιν ταῖς τῶν σχημάτων διαφοραῖς, ὃ τὴν ἡδονὴν ποιεῖ, ἀλλ’ οὐχὶ μονοειδῶς ἐκφέροντας προσ‐ κορῆ τὸν λόγον ποιεῖν. Τρόπῳ δὲ παντοίῳ διδασκαλίας χρῆται· ἐν μὲν γὰρ</w:t>
      </w:r>
    </w:p>
    <w:p>
      <w:r>
        <w:rPr>
          <w:rFonts w:ascii="Courier New" w:hAnsi="Courier New"/>
          <w:color w:val="555555"/>
          <w:sz w:val="20"/>
        </w:rPr>
        <w:t>[10]</w:t>
      </w:r>
    </w:p>
    <w:p>
      <w:r>
        <w:rPr>
          <w:rFonts w:ascii="Gentium Plus" w:hAnsi="Gentium Plus"/>
          <w:sz w:val="24"/>
        </w:rPr>
        <w:t>τῷ λέγειν περὶ διαιρέσεως τῷ διαιρετικῷ, οἷον ὅτι ‘περὶ τῆσδε τῆς διαιρέσεως ποιοῦμαι τὸν λόγον, ἀλλ’ οὐ 〈περὶ〉 τῆσδε‘· ἐν δὲ τῷ 〈τὸν〉 ὅρον ἀποδιδόναι τοῦ πο‐ λιτικοῦ ζητήματος τῷ συνθετικῷ· τῷ δὲ ἀναλυτικῷ οὕ‐ τως, φησὶ γὰρ ‘τὸ πολιτικὸν ζήτημα ὕλην ἔχει τὰ πρόσ‐</w:t>
      </w:r>
    </w:p>
    <w:p>
      <w:r>
        <w:rPr>
          <w:rFonts w:ascii="Courier New" w:hAnsi="Courier New"/>
          <w:color w:val="555555"/>
          <w:sz w:val="20"/>
        </w:rPr>
        <w:t>[15]</w:t>
      </w:r>
    </w:p>
    <w:p>
      <w:r>
        <w:rPr>
          <w:rFonts w:ascii="Gentium Plus" w:hAnsi="Gentium Plus"/>
          <w:sz w:val="24"/>
        </w:rPr>
        <w:t>ωπα καὶ τὰ πράγματα· τῶν δὲ προσώπων τὰ μέν ἐστι τοιάδε, 〈τὰ δὲ τοιάδε,〉 καὶ τῶν πραγμάτων ὁμοίως. τὰ δὲ ἔχοντα πρόσωπά τε καὶ πράγματα ζητήματα τοιάδε συνέστηκεν, τὰ δὲ μὴ οὔ· ὥστε τὰ μὲν τῶν ζητη‐ μάτων συνέστηκε, τὰ δὲ οὔ‘. ὅρα γάρ, ὅτι ἀπὸ τῶν</w:t>
      </w:r>
    </w:p>
    <w:p>
      <w:r>
        <w:rPr>
          <w:rFonts w:ascii="Courier New" w:hAnsi="Courier New"/>
          <w:color w:val="555555"/>
          <w:sz w:val="20"/>
        </w:rPr>
        <w:t>[20]</w:t>
      </w:r>
    </w:p>
    <w:p>
      <w:r>
        <w:rPr>
          <w:rFonts w:ascii="Gentium Plus" w:hAnsi="Gentium Plus"/>
          <w:sz w:val="24"/>
        </w:rPr>
        <w:t>ἡμῖν πρώτων ἐπὶ τὰ τῇ φύσει πρῶτα ἀνιὼν ἤτοι τὰ ζητήματα, τουτέστι τὰς στάσεις, τῷ κατὰ ἀνάλυσιν χρῆται. Ἐπιγέγραπται δὲ Περὶ στάσεων, ἀλλ’ οὐχ ὡς τινὲς Τέχνη ῥητορική· οὐ γὰρ περὶ πάσης διδάσκει τῆς ῥητο‐</w:t>
      </w:r>
    </w:p>
    <w:p>
      <w:r>
        <w:rPr>
          <w:rFonts w:ascii="Courier New" w:hAnsi="Courier New"/>
          <w:color w:val="555555"/>
          <w:sz w:val="20"/>
        </w:rPr>
        <w:t>[25]</w:t>
      </w:r>
    </w:p>
    <w:p>
      <w:r>
        <w:rPr>
          <w:rFonts w:ascii="Gentium Plus" w:hAnsi="Gentium Plus"/>
          <w:sz w:val="24"/>
        </w:rPr>
        <w:t>ρικῆς, ἀλλὰ περὶ μέρους, ὅ ἐστιν ἡ διαίρεσις τῶν στά‐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