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Prolegomena in librum περὶ ἰδεῶν</w:t>
      </w:r>
      <w:r>
        <w:br/>
      </w:r>
      <w:r>
        <w:rPr>
          <w:i/>
          <w:color w:val="666666"/>
          <w:sz w:val="40"/>
        </w:rPr>
        <w:t>Introduction to Book On Ideas</w:t>
      </w:r>
    </w:p>
    <w:p>
      <w:pPr>
        <w:jc w:val="center"/>
      </w:pPr>
      <w:r>
        <w:rPr>
          <w:rFonts w:ascii="Times New Roman" w:hAnsi="Times New Roman"/>
          <w:color w:val="1E3A70"/>
          <w:sz w:val="32"/>
        </w:rPr>
        <w:t>Ἀνώνυμοι εἰς Ἑρμογένην</w:t>
      </w:r>
      <w:r>
        <w:br/>
      </w:r>
      <w:r>
        <w:rPr>
          <w:i/>
          <w:color w:val="666666"/>
          <w:sz w:val="28"/>
        </w:rPr>
        <w:t>by Hermogenes Commentary Anonymous</w:t>
      </w:r>
    </w:p>
    <w:p/>
    <w:p>
      <w:pPr>
        <w:jc w:val="center"/>
      </w:pPr>
      <w:r>
        <w:rPr>
          <w:rFonts w:ascii="Gentium Plus" w:hAnsi="Gentium Plus"/>
          <w:b/>
          <w:sz w:val="24"/>
        </w:rPr>
        <w:t>ΤΑ ΠΡΟΛΕΓΟΜΕΝΑ ΤΟΥ ΠΕΡΙ ΙΔΕΩΝ</w:t>
      </w:r>
    </w:p>
    <w:p>
      <w:r>
        <w:rPr>
          <w:rFonts w:ascii="Courier New" w:hAnsi="Courier New"/>
          <w:color w:val="555555"/>
          <w:sz w:val="20"/>
        </w:rPr>
        <w:t>[16]</w:t>
      </w:r>
    </w:p>
    <w:p>
      <w:r>
        <w:rPr>
          <w:rFonts w:ascii="Gentium Plus" w:hAnsi="Gentium Plus"/>
          <w:sz w:val="24"/>
        </w:rPr>
        <w:t>Τὸν πολιτικὸν λόγον δεῖ καὶ τὸ δυνατὸν ἔχειν, τουτέστι τὸ δυνάμενον πεῖσαι, καὶ τὸ ἡδύ. Τὸ μὲν οὖν δυνατὸν ἐκ τῆς γνώσεως τῶν κεφαλαίων τῶν καθ’ ἑκάστην στάσιν γίνεται, περὶ ὧν ἐδίδαξεν</w:t>
      </w:r>
    </w:p>
    <w:p>
      <w:r>
        <w:rPr>
          <w:rFonts w:ascii="Courier New" w:hAnsi="Courier New"/>
          <w:color w:val="555555"/>
          <w:sz w:val="20"/>
        </w:rPr>
        <w:t>[20]</w:t>
      </w:r>
    </w:p>
    <w:p>
      <w:r>
        <w:rPr>
          <w:rFonts w:ascii="Gentium Plus" w:hAnsi="Gentium Plus"/>
          <w:sz w:val="24"/>
        </w:rPr>
        <w:t>Ἑρμογένης ἐν τῇ Περὶ τῶν στάσεων πραγματείᾳ. ὁ γὰρ</w:t>
      </w:r>
    </w:p>
    <w:p>
      <w:r>
        <w:rPr>
          <w:rFonts w:ascii="Courier New" w:hAnsi="Courier New"/>
          <w:color w:val="555555"/>
          <w:sz w:val="20"/>
        </w:rPr>
        <w:t>[14 . 389]</w:t>
      </w:r>
    </w:p>
    <w:p>
      <w:r>
        <w:rPr>
          <w:rFonts w:ascii="Gentium Plus" w:hAnsi="Gentium Plus"/>
          <w:sz w:val="24"/>
        </w:rPr>
        <w:t>γὰρ ἡμᾶς ἐπὶ τὴν τῶν ἐνθυμημάτων εὕρεσιν τὰ κεφά‐ λαια, ὡς ἐν τῷ πρώτῳ τῶν Ὀλυνθιακῶν τὸ συμφέρον κεφάλαιον ἐργαζόμενος ὁ Δημοσθένης ἐνθυμήματα εὗρε πεῖσαι δυνάμενα τὸν ἀκροατὴν συμμαχῆσαι Ὀλυνθίοις.</w:t>
      </w:r>
    </w:p>
    <w:p>
      <w:r>
        <w:rPr>
          <w:rFonts w:ascii="Courier New" w:hAnsi="Courier New"/>
          <w:color w:val="555555"/>
          <w:sz w:val="20"/>
        </w:rPr>
        <w:t>[5]</w:t>
      </w:r>
    </w:p>
    <w:p>
      <w:r>
        <w:rPr>
          <w:rFonts w:ascii="Gentium Plus" w:hAnsi="Gentium Plus"/>
          <w:sz w:val="24"/>
        </w:rPr>
        <w:t>τὸ μὲν γὰρ συμφέρον ἐστὶν ἐκεῖ κεφάλαιον, ὅτι συμφέ‐ ρει Ἀθηναίοις ἡ συμμαχία, τὰ δὲ ἐνθυμήματα, ὅτι Ὀλυνθίων σῳζομένων μακρὰν ἡμῶν ἀπέσται ὁ πόλεμος, εἰ δὲ Ὄλυνθον Φίλιππος λάβοι, ἥξει θᾶττον ἐφ’ ἡμᾶς· ὅτι οὐ τοσαῦτα δαπανήσομεν ἔξω τῆς χώρας αὐτῷ πολε‐</w:t>
      </w:r>
    </w:p>
    <w:p>
      <w:r>
        <w:rPr>
          <w:rFonts w:ascii="Courier New" w:hAnsi="Courier New"/>
          <w:color w:val="555555"/>
          <w:sz w:val="20"/>
        </w:rPr>
        <w:t>[10]</w:t>
      </w:r>
    </w:p>
    <w:p>
      <w:r>
        <w:rPr>
          <w:rFonts w:ascii="Gentium Plus" w:hAnsi="Gentium Plus"/>
          <w:sz w:val="24"/>
        </w:rPr>
        <w:t>μοῦντες, ὅσα εἰς τὴν Ἀττικὴν ἐλθόντος Φιλίππου, ἔλθοι δ’ ἄν, εἰ Ὄλυνθον λήψεται. βιάζεται τοίνυν τὴν τοῦ ἀκροατοῦ διάνοιαν τὸ ἐνθύμημα καὶ ἀναγκάζει πείθε‐ σθαι· διὸ καὶ τὸ δυνατὸν ἔφαμεν ἐκ τῶν κεφαλαίων γίνεσθαι, δι’ ὧν τὰ ἐνθυμήματα προσγίνεται καὶ εὑρί‐</w:t>
      </w:r>
    </w:p>
    <w:p>
      <w:r>
        <w:rPr>
          <w:rFonts w:ascii="Courier New" w:hAnsi="Courier New"/>
          <w:color w:val="555555"/>
          <w:sz w:val="20"/>
        </w:rPr>
        <w:t>[15]</w:t>
      </w:r>
    </w:p>
    <w:p>
      <w:r>
        <w:rPr>
          <w:rFonts w:ascii="Gentium Plus" w:hAnsi="Gentium Plus"/>
          <w:sz w:val="24"/>
        </w:rPr>
        <w:t>σκεται. Τὸ δέ γε ἡδὺ ἐκ τῆς ποικιλίας τῶν σχημάτων καὶ τῆς τῶν ἰδεῶν γνώσεως ἐργαζόμεθα· σκληρὸς μὲν γὰρ καὶ προσκορὴς ὁ μονοειδὴς λόγος, ἡδὺς δὲ καὶ πιθα‐ νώτατος ὁ ποικίλος καὶ πολυσχημάτιστος· μεταβολὴ</w:t>
      </w:r>
    </w:p>
    <w:p>
      <w:r>
        <w:rPr>
          <w:rFonts w:ascii="Courier New" w:hAnsi="Courier New"/>
          <w:color w:val="555555"/>
          <w:sz w:val="20"/>
        </w:rPr>
        <w:t>[20]</w:t>
      </w:r>
    </w:p>
    <w:p>
      <w:r>
        <w:rPr>
          <w:rFonts w:ascii="Gentium Plus" w:hAnsi="Gentium Plus"/>
          <w:sz w:val="24"/>
        </w:rPr>
        <w:t>γὰρ πάντων γλυκὺ κατὰ τὸν Εὐριπίδην. τοῦτο οὖν τὸ ἡδύ.</w:t>
      </w:r>
    </w:p>
    <w:p>
      <w:r>
        <w:rPr>
          <w:rFonts w:ascii="Courier New" w:hAnsi="Courier New"/>
          <w:color w:val="555555"/>
          <w:sz w:val="20"/>
        </w:rPr>
        <w:t>[14 . 390]</w:t>
      </w:r>
    </w:p>
    <w:p>
      <w:r>
        <w:rPr>
          <w:rFonts w:ascii="Gentium Plus" w:hAnsi="Gentium Plus"/>
          <w:sz w:val="24"/>
        </w:rPr>
        <w:t>σκει, πῶς δεῖ καλλωπίζειν καὶ ἡδύνειν τά τε εὑρεθέντα ἐνθυμήματα καὶ τὴν φράσιν. κέχρηται δὲ προοιμίῳ, ἐν ᾧ δείκνυσιν, ὅτι ἀναγκαία ἡ τῶν ἰδεῶν γνῶσις τῷ ῥήτορι, κἄν τε</w:t>
      </w:r>
    </w:p>
    <w:p>
      <w:r>
        <w:rPr>
          <w:rFonts w:ascii="Courier New" w:hAnsi="Courier New"/>
          <w:color w:val="555555"/>
          <w:sz w:val="20"/>
        </w:rPr>
        <w:t>[5]</w:t>
      </w:r>
    </w:p>
    <w:p>
      <w:r>
        <w:rPr>
          <w:rFonts w:ascii="Gentium Plus" w:hAnsi="Gentium Plus"/>
          <w:sz w:val="24"/>
        </w:rPr>
        <w:t>λέγειν κἄν τε μὴν κρίνειν τὰ τῶν ἄλλων ἐθέλῃ· κἂν γὰρ εὐφυὴς ᾖ, οὐδὲν ὄφελος ἐντεῦθεν, ἐὰν μὴ προσῇ τὰ τῆς τέχνης, δι’ ἧς ὀρθῶς ἂν καὶ τοὺς ἀρχαίους ζηλώσωμεν· ὅτι περὶ καθολικῆς ἰδέας γέγραπται τὸ σύγγραμμα, οὐ περὶ Δημοσθενικῆς ἢ Πλατωνικῆς·</w:t>
      </w:r>
    </w:p>
    <w:p>
      <w:r>
        <w:rPr>
          <w:rFonts w:ascii="Courier New" w:hAnsi="Courier New"/>
          <w:color w:val="555555"/>
          <w:sz w:val="20"/>
        </w:rPr>
        <w:t>[10]</w:t>
      </w:r>
    </w:p>
    <w:p>
      <w:r>
        <w:rPr>
          <w:rFonts w:ascii="Gentium Plus" w:hAnsi="Gentium Plus"/>
          <w:sz w:val="24"/>
        </w:rPr>
        <w:t>ὅτι διὰ τῶν Δημοσθένους λόγων περὶ πάσης ἰδέας διδάσκει· οὗτος γὰρ ποικίλος μάλιστα ὁ ῥήτωρ· ὅτι δυσχερὲς τὴν μῖξιν τῶν ἰδεῶν εὑρεῖν καὶ εὑρόντα φράσαι· ὅτι οὐδεὶς τῶν πρὸ αὐτοῦ καθῆκεν ἑαυτὸν εἰς τὴν</w:t>
      </w:r>
    </w:p>
    <w:p>
      <w:r>
        <w:rPr>
          <w:rFonts w:ascii="Courier New" w:hAnsi="Courier New"/>
          <w:color w:val="555555"/>
          <w:sz w:val="20"/>
        </w:rPr>
        <w:t>[15]</w:t>
      </w:r>
    </w:p>
    <w:p>
      <w:r>
        <w:rPr>
          <w:rFonts w:ascii="Gentium Plus" w:hAnsi="Gentium Plus"/>
          <w:sz w:val="24"/>
        </w:rPr>
        <w:t>περὶ τῶν καθολικῶν ἰδεῶν πραγματείαν· ὅτι ἑπτά εἰσιν ἰδέαι αἱ τὸν Δημοσθενικὸν ποιοῦσαι λόγον, ὧν αἳ μὲν γενικαί εἰσιν, αἳ δὲ εἰδικαί· ἐκ τίνων τε ἅπας γίνεται λόγος, ὅτι ἐξ ἐννοίας, μεθ‐ όδου, λέξεως, σχήματος, κώλου, συνθέσεως, ἀναπαύ‐</w:t>
      </w:r>
    </w:p>
    <w:p>
      <w:r>
        <w:rPr>
          <w:rFonts w:ascii="Courier New" w:hAnsi="Courier New"/>
          <w:color w:val="555555"/>
          <w:sz w:val="20"/>
        </w:rPr>
        <w:t>[20]</w:t>
      </w:r>
    </w:p>
    <w:p>
      <w:r>
        <w:rPr>
          <w:rFonts w:ascii="Gentium Plus" w:hAnsi="Gentium Plus"/>
          <w:sz w:val="24"/>
        </w:rPr>
        <w:t>σεως, ῥυθμοῦ· τί ἡ δύναμις τῶν ποιούντων τὰ εἴδη τοῦ λόγου. Ἐπὶ τούτοις ἀνακεφαλαιωσάμενος περὶ πάσης ἰδέας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