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Κατοπτρικά</w:t>
      </w:r>
      <w:r>
        <w:br/>
      </w:r>
      <w:r>
        <w:rPr>
          <w:i/>
          <w:color w:val="666666"/>
          <w:sz w:val="40"/>
        </w:rPr>
        <w:t>Catoptrics</w:t>
      </w:r>
    </w:p>
    <w:p>
      <w:pPr>
        <w:jc w:val="center"/>
      </w:pPr>
      <w:r>
        <w:rPr>
          <w:rFonts w:ascii="Times New Roman" w:hAnsi="Times New Roman"/>
          <w:color w:val="1E3A70"/>
          <w:sz w:val="32"/>
        </w:rPr>
        <w:t>Ἥρων ὁ Ἀλεξανδρεύς</w:t>
      </w:r>
      <w:r>
        <w:br/>
      </w:r>
      <w:r>
        <w:rPr>
          <w:i/>
          <w:color w:val="666666"/>
          <w:sz w:val="28"/>
        </w:rPr>
        <w:t xml:space="preserve">by Hero of Alexandria </w:t>
      </w:r>
    </w:p>
    <w:p/>
    <w:p>
      <w:pPr>
        <w:jc w:val="center"/>
      </w:pPr>
      <w:r>
        <w:rPr>
          <w:rFonts w:ascii="Gentium Plus" w:hAnsi="Gentium Plus"/>
          <w:b/>
          <w:sz w:val="24"/>
        </w:rPr>
        <w:t>ΚΑΤΟΠΤΙΚΑ.</w:t>
      </w:r>
    </w:p>
    <w:p>
      <w:r>
        <w:rPr>
          <w:rFonts w:ascii="Courier New" w:hAnsi="Courier New"/>
          <w:color w:val="555555"/>
          <w:sz w:val="20"/>
        </w:rPr>
        <w:t>[1]</w:t>
      </w:r>
    </w:p>
    <w:p>
      <w:r>
        <w:rPr>
          <w:rFonts w:ascii="Gentium Plus" w:hAnsi="Gentium Plus"/>
          <w:sz w:val="24"/>
        </w:rPr>
        <w:t>Ἐπειδὴ γὰρ τοῦτο ὡμολογημένον ἐστὶ παρὰ πᾶσιν, ὅτι οὐδὲν μάτην ἐργάζεται ἡ φύσις οὐδὲ ματαιοπονεῖ, ἐὰν μὴ δώσωμεν πρὸς ἴσας γωνίας γίνεσθαι τὴν ἀνά‐ κλασιν, πρὸς ἀνίσους ματαιοπονεῖ ἡ φύσις, καὶ ἀντὶ</w:t>
      </w:r>
    </w:p>
    <w:p>
      <w:r>
        <w:rPr>
          <w:rFonts w:ascii="Courier New" w:hAnsi="Courier New"/>
          <w:color w:val="555555"/>
          <w:sz w:val="20"/>
        </w:rPr>
        <w:t>[5]</w:t>
      </w:r>
    </w:p>
    <w:p>
      <w:r>
        <w:rPr>
          <w:rFonts w:ascii="Gentium Plus" w:hAnsi="Gentium Plus"/>
          <w:sz w:val="24"/>
        </w:rPr>
        <w:t>τοῦ διὰ βραχείας περιόδου φθάσαι τὸ ὁρώμενον τὴν ὄψιν, διὰ μακρᾶς περιόδου τοῦτο φανήσεται κατα‐ λαμβάνουσα. εὑρεθήσονται γὰρ αἱ τὰς ἀνίσους γωνίας περιέχουσαι εὐθεῖαι, αἵτινες ἀπὸ τῆς ὄψεως [περι‐ έχουσαι] †φερομένας πρὸς τὸ κάτοπτρον κἀκεῖθεν πρὸς</w:t>
      </w:r>
    </w:p>
    <w:p>
      <w:r>
        <w:rPr>
          <w:rFonts w:ascii="Courier New" w:hAnsi="Courier New"/>
          <w:color w:val="555555"/>
          <w:sz w:val="20"/>
        </w:rPr>
        <w:t>[10]</w:t>
      </w:r>
    </w:p>
    <w:p>
      <w:r>
        <w:rPr>
          <w:rFonts w:ascii="Gentium Plus" w:hAnsi="Gentium Plus"/>
          <w:sz w:val="24"/>
        </w:rPr>
        <w:t>τὸ ὁρώμενον, μείζονες οὖσαι τῶν τὰς ἴσας γωνίας περιεχουσῶν εὐθειῶν. καὶ ὅτι τοῦτο ἀληθές, δῆλον ἐντεῦθεν. Ὑποκείσθω γὰρ τὸ κάτοπτρον εὐθεῖά τις ἡ ΑΒ, καὶ ἔστω τὸ μὲν ὁρῶν Γ, τὸ δ’ ὁρώμενον τὸ Δ, τὸ</w:t>
      </w:r>
    </w:p>
    <w:p>
      <w:r>
        <w:rPr>
          <w:rFonts w:ascii="Courier New" w:hAnsi="Courier New"/>
          <w:color w:val="555555"/>
          <w:sz w:val="20"/>
        </w:rPr>
        <w:t>[15]</w:t>
      </w:r>
    </w:p>
    <w:p>
      <w:r>
        <w:rPr>
          <w:rFonts w:ascii="Gentium Plus" w:hAnsi="Gentium Plus"/>
          <w:sz w:val="24"/>
        </w:rPr>
        <w:t>δὲ Ε σημεῖον τοῦ κατόπτρου, ἐν ᾧ προσπίπτουσα ἡ</w:t>
      </w:r>
    </w:p>
    <w:p>
      <w:r>
        <w:rPr>
          <w:rFonts w:ascii="Courier New" w:hAnsi="Courier New"/>
          <w:color w:val="555555"/>
          <w:sz w:val="20"/>
        </w:rPr>
        <w:t>[20]</w:t>
      </w:r>
    </w:p>
    <w:p>
      <w:r>
        <w:rPr>
          <w:rFonts w:ascii="Gentium Plus" w:hAnsi="Gentium Plus"/>
          <w:sz w:val="24"/>
        </w:rPr>
        <w:t>γωνίας ἀνακλᾶται, τὸ Ζ, καὶ ἐπεζεύχθω ἡ ΓΖ, ΖΔ. δῆλον ὅτι ἡ ὑπὸ ΓΖΑ γωνία μείζων ἐστὶ τῆς ὑπὸ ΔΖΕ γωνίας. λέγω ὅτι αἱ ΓΖ, ΖΔ εὐθεῖαι, αἵτινες τὰς ἀνίσους γωνίας περιέχουσιν ὑποκειμένης τῆς ΑΒ εὐ‐ θείας, μείζονές εἰσι τῶν ΓΕ, ΕΔ εὐθειῶν, αἵτινες τὰς</w:t>
      </w:r>
    </w:p>
    <w:p>
      <w:r>
        <w:rPr>
          <w:rFonts w:ascii="Courier New" w:hAnsi="Courier New"/>
          <w:color w:val="555555"/>
          <w:sz w:val="20"/>
        </w:rPr>
        <w:t>[25]</w:t>
      </w:r>
    </w:p>
    <w:p>
      <w:r>
        <w:rPr>
          <w:rFonts w:ascii="Gentium Plus" w:hAnsi="Gentium Plus"/>
          <w:sz w:val="24"/>
        </w:rPr>
        <w:t>ἴσας γωνίας περιέχουσι μετὰ τῆς ΑΒ. ἤχθω γὰρ κά‐ θετος ἀπὸ τοῦ Δ ἐπὶ τὴν ΑΒ κατὰ τὸ Η σημεῖον καὶ ἐκβεβλήσθω ἐπ’ εὐθείας ὡς ἐπὶ τὸ Θ. φανερὸν δὴ ὅτι αἱ πρὸς τῷ Η γωνίαι ἴσαι εἰσίν. ὀρθαὶ γάρ εἰσι. καὶ ἔστω ἡ ΔΗ τῇ ΗΘ ἴση, καὶ ἐπεζεύχθω ἡ</w:t>
      </w:r>
    </w:p>
    <w:p>
      <w:r>
        <w:rPr>
          <w:rFonts w:ascii="Courier New" w:hAnsi="Courier New"/>
          <w:color w:val="555555"/>
          <w:sz w:val="20"/>
        </w:rPr>
        <w:t>[30]</w:t>
      </w:r>
    </w:p>
    <w:p>
      <w:r>
        <w:rPr>
          <w:rFonts w:ascii="Gentium Plus" w:hAnsi="Gentium Plus"/>
          <w:sz w:val="24"/>
        </w:rPr>
        <w:t>ΘΖ καὶ ἡ ΘΕ. αὕτη μὲν ἡ κατασκευή. ἐπεὶ οὖν ἴση ἐστὶν ἡ ΔΗ τῇ ΗΘ, ἀλλὰ καὶ ἡ ὑπὸ ΔΗΕ γωνία τῇ ὑπὸ ΘΗΕ γωνίᾳ ἴση ἐστί, κοινὴ δὲ πλευρὰ τῶν δύο τριγώνων ἡ ΗΕ, καὶ βάσις ἡ ΘΕ βάσει τῇ ΕΔ ἴση ἐστί, καὶ τὸ ΗΘΕ τρίγωνον τῷ ΔΗΕ τριγώνῳ</w:t>
      </w:r>
    </w:p>
    <w:p>
      <w:r>
        <w:rPr>
          <w:rFonts w:ascii="Courier New" w:hAnsi="Courier New"/>
          <w:color w:val="555555"/>
          <w:sz w:val="20"/>
        </w:rPr>
        <w:t>[35]</w:t>
      </w:r>
    </w:p>
    <w:p>
      <w:r>
        <w:rPr>
          <w:rFonts w:ascii="Gentium Plus" w:hAnsi="Gentium Plus"/>
          <w:sz w:val="24"/>
        </w:rPr>
        <w:t>ἴσον ἐστί, καὶ 〈αἱ〉 λοιπαὶ γωνίαι ταῖς λοιπαῖς γωνίαις εἰσὶν ἴσαι, ὑφ’ ἃς αἱ ἴσαι πλευραὶ ὑποτείνουσιν. ἴση ἄρα ἡ ΘΕ τῇ ΕΔ. πάλιν ἐπειδὴ τῇ ΗΘ ἴση ἐστὶν ἡ ΗΔ καὶ γωνία ἡ ὑπὸ ΔΗΖ γωνίᾳ τῇ ὑπὸ ΘΗΖ ἴση ἐστί, κοινὴ δὲ ἡ ΗΖ τῶν δύο τριγώνων τῶν ΔΗΖ</w:t>
      </w:r>
    </w:p>
    <w:p>
      <w:r>
        <w:rPr>
          <w:rFonts w:ascii="Courier New" w:hAnsi="Courier New"/>
          <w:color w:val="555555"/>
          <w:sz w:val="20"/>
        </w:rPr>
        <w:t>[40]</w:t>
      </w:r>
    </w:p>
    <w:p>
      <w:r>
        <w:rPr>
          <w:rFonts w:ascii="Gentium Plus" w:hAnsi="Gentium Plus"/>
          <w:sz w:val="24"/>
        </w:rPr>
        <w:t>καὶ ΘΗΖ, καὶ βάσις ἄρα ἡ ΘΖ βάσει τῇ ΖΔ ἴση ἐστί, καὶ τὸ ΖΗΔ τρίγωνον τῷ ΘΗΖ τριγώνῳ ἴσον</w:t>
      </w:r>
    </w:p>
    <w:p>
      <w:r>
        <w:rPr>
          <w:rFonts w:ascii="Courier New" w:hAnsi="Courier New"/>
          <w:color w:val="555555"/>
          <w:sz w:val="20"/>
        </w:rPr>
        <w:t>[45]</w:t>
      </w:r>
    </w:p>
    <w:p>
      <w:r>
        <w:rPr>
          <w:rFonts w:ascii="Gentium Plus" w:hAnsi="Gentium Plus"/>
          <w:sz w:val="24"/>
        </w:rPr>
        <w:t>ἄρα ἡ ΓΘ δυσὶ ταῖς ΓΕ, ΕΔ ἴση ἐστί. καὶ ἐπεὶ παντὸς τριγώνου αἱ δύο πλευραὶ τῆς λοιπῆς μείζονές εἰσι πάντῃ μεταλαμβανόμεναι, τριγώνου ἄρα τοῦ ΘΖΓ αἱ δύο πλευραὶ αἱ ΘΖ, ΖΓ μιᾶς τῆς ΓΘ μείζονές εἰσιν. ἀλλ’ ἡ ΓΘ ἴση ἐστὶ ταῖς ΓΕ, ΕΔ. αἱ ΘΖ,</w:t>
      </w:r>
    </w:p>
    <w:p>
      <w:r>
        <w:rPr>
          <w:rFonts w:ascii="Courier New" w:hAnsi="Courier New"/>
          <w:color w:val="555555"/>
          <w:sz w:val="20"/>
        </w:rPr>
        <w:t>[(50)]</w:t>
      </w:r>
    </w:p>
    <w:p>
      <w:r>
        <w:rPr>
          <w:rFonts w:ascii="Gentium Plus" w:hAnsi="Gentium Plus"/>
          <w:sz w:val="24"/>
        </w:rPr>
        <w:t>ΖΓ ἄρα μείζονές εἰσι τῶν ΓΕ, ΕΔ. ἀλλ’ ἡ ΘΖ τῇ ΖΔ ἐστὶν ἴση. αἱ ΖΓ, ΖΔ ἄρα τῶν ΓΕ, ΕΔ μείζονές εἰσι. καί εἰσιν αἱ ΓΖ, ΖΔ αἱ τὰς ἀνίσους γωνίας περιέχουσαι· αἱ ἄρα τὰς ἀνίσους γωνίας περιέ‐</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