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Μονόβιβλον περὶ τοῦ ἦν</w:t>
      </w:r>
      <w:r>
        <w:br/>
      </w:r>
      <w:r>
        <w:rPr>
          <w:i/>
          <w:color w:val="666666"/>
          <w:sz w:val="40"/>
        </w:rPr>
        <w:t>Monobiblos on Being</w:t>
      </w:r>
    </w:p>
    <w:p>
      <w:pPr>
        <w:jc w:val="center"/>
      </w:pPr>
      <w:r>
        <w:rPr>
          <w:rFonts w:ascii="Times New Roman" w:hAnsi="Times New Roman"/>
          <w:color w:val="1E3A70"/>
          <w:sz w:val="32"/>
        </w:rPr>
        <w:t>Αἴλιος Ἡρωδιανός</w:t>
      </w:r>
      <w:r>
        <w:br/>
      </w:r>
      <w:r>
        <w:rPr>
          <w:i/>
          <w:color w:val="666666"/>
          <w:sz w:val="28"/>
        </w:rPr>
        <w:t>by Herodian of Alexandria</w:t>
      </w:r>
    </w:p>
    <w:p/>
    <w:p>
      <w:pPr>
        <w:jc w:val="center"/>
      </w:pPr>
      <w:r>
        <w:rPr>
          <w:rFonts w:ascii="Gentium Plus" w:hAnsi="Gentium Plus"/>
          <w:b/>
          <w:sz w:val="24"/>
        </w:rPr>
        <w:t>ΜΟΝΟΒΙΒΛΟΝ ΠΕΡΙ ΤΟΥ ΗΝ.</w:t>
      </w:r>
    </w:p>
    <w:p>
      <w:r>
        <w:rPr>
          <w:rFonts w:ascii="Courier New" w:hAnsi="Courier New"/>
          <w:color w:val="555555"/>
          <w:sz w:val="20"/>
        </w:rPr>
        <w:t>[5]</w:t>
      </w:r>
    </w:p>
    <w:p>
      <w:r>
        <w:rPr>
          <w:rFonts w:ascii="Gentium Plus" w:hAnsi="Gentium Plus"/>
          <w:sz w:val="24"/>
        </w:rPr>
        <w:t>Choer. 536, 17: λέγει ὁ Ἡρωδιανὸς ἐν τῷ περὶ τοῦ ἦν μονοβίβλῳ, ὅτι τὸ ἦν εὑρίσκεται καὶ πρώτου προσώπου ἑνικοῦ οἷον ἦν ἐγώ, ὡς παρ’ Ἀριστοφάνει ἐν Πλούτῳ (28) ἐγὼ θεοσεβὴς καὶ δίκαιος ὢν ἀνὴρ κακῶς ἔπραττον καὶ πένης ἦν</w:t>
      </w:r>
    </w:p>
    <w:p>
      <w:r>
        <w:rPr>
          <w:rFonts w:ascii="Courier New" w:hAnsi="Courier New"/>
          <w:color w:val="555555"/>
          <w:sz w:val="20"/>
        </w:rPr>
        <w:t>[10]</w:t>
      </w:r>
    </w:p>
    <w:p>
      <w:r>
        <w:rPr>
          <w:rFonts w:ascii="Gentium Plus" w:hAnsi="Gentium Plus"/>
          <w:sz w:val="24"/>
        </w:rPr>
        <w:t>ἀντὶ τοῦ ὑπῆρχον. εὑρίσκεται καὶ τρίτον πρόσωπον ἑνικοῦ «ἦν ἐκεῖ‐</w:t>
      </w:r>
    </w:p>
    <w:p>
      <w:r>
        <w:rPr>
          <w:rFonts w:ascii="Courier New" w:hAnsi="Courier New"/>
          <w:color w:val="555555"/>
          <w:sz w:val="20"/>
        </w:rPr>
        <w:t>[3,2 786]</w:t>
      </w:r>
    </w:p>
    <w:p>
      <w:r>
        <w:rPr>
          <w:rFonts w:ascii="Gentium Plus" w:hAnsi="Gentium Plus"/>
          <w:sz w:val="24"/>
        </w:rPr>
        <w:t>ἡμεῖς» ἀντὶ τοῦ ἦμεν· εἰκότως οὖν καὶ τὸ τρίτον πρόσωπον τῶν πλη‐ θυντικῶν οὐκ ἐνήλλαξε πρὸς τὸ ἴδιον πρῶτον πρόσωπον, ἀλλ’ ἐγένετο καὶ αὐτὸ διὰ τοῦ η «τῆς δ’ ἦν τρεῖς κεφαλαί» (Hesiod. Theog. 321)</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