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μονοσυλλάβων</w:t>
      </w:r>
      <w:r>
        <w:br/>
      </w:r>
      <w:r>
        <w:rPr>
          <w:i/>
          <w:color w:val="666666"/>
          <w:sz w:val="40"/>
        </w:rPr>
        <w:t>On Monosyllables</w:t>
      </w:r>
    </w:p>
    <w:p>
      <w:pPr>
        <w:jc w:val="center"/>
      </w:pPr>
      <w:r>
        <w:rPr>
          <w:rFonts w:ascii="Times New Roman" w:hAnsi="Times New Roman"/>
          <w:color w:val="1E3A70"/>
          <w:sz w:val="32"/>
        </w:rPr>
        <w:t>Αἴλιος Ἡρωδιανός</w:t>
      </w:r>
      <w:r>
        <w:br/>
      </w:r>
      <w:r>
        <w:rPr>
          <w:i/>
          <w:color w:val="666666"/>
          <w:sz w:val="28"/>
        </w:rPr>
        <w:t>by Herodian of Alexandria</w:t>
      </w:r>
    </w:p>
    <w:p/>
    <w:p>
      <w:pPr>
        <w:jc w:val="center"/>
      </w:pPr>
      <w:r>
        <w:rPr>
          <w:rFonts w:ascii="Gentium Plus" w:hAnsi="Gentium Plus"/>
          <w:b/>
          <w:sz w:val="24"/>
        </w:rPr>
        <w:t>ΠΕΡΙ ΜΟΝΟΣΥΛΛΑΒΩΝ.</w:t>
      </w:r>
    </w:p>
    <w:p>
      <w:r>
        <w:rPr>
          <w:rFonts w:ascii="Courier New" w:hAnsi="Courier New"/>
          <w:color w:val="555555"/>
          <w:sz w:val="20"/>
        </w:rPr>
        <w:t>[22]</w:t>
      </w:r>
    </w:p>
    <w:p>
      <w:r>
        <w:rPr>
          <w:rFonts w:ascii="Gentium Plus" w:hAnsi="Gentium Plus"/>
          <w:sz w:val="24"/>
        </w:rPr>
        <w:t>Choer. 182, 27: πᾶν ὄνομα μονοσύλλαβον μακροκαταληκτεῖν θέλει εἴτε φύσει εἴτε θέσει· φύσει μὲν οἷον Γρᾶς, πᾶς, Κρής, Τρώς, σής ὁ σκώληξ, νοῦς, παῖς, βοῦς, θέσει δὲ οἷον νύξ, στύξ, φλόξ, Φρύξ, ἅλς</w:t>
      </w:r>
    </w:p>
    <w:p>
      <w:r>
        <w:rPr>
          <w:rFonts w:ascii="Courier New" w:hAnsi="Courier New"/>
          <w:color w:val="555555"/>
          <w:sz w:val="20"/>
        </w:rPr>
        <w:t>[25]</w:t>
      </w:r>
    </w:p>
    <w:p>
      <w:r>
        <w:rPr>
          <w:rFonts w:ascii="Gentium Plus" w:hAnsi="Gentium Plus"/>
          <w:sz w:val="24"/>
        </w:rPr>
        <w:t>χωρὶς τοῦ τίς· τοῦτο γὰρ συστέλλει τὸ ι, καὶ χωρὶς τοῦ πός, ὅπερ ἀπὸ τοῦ πούς γέγονε κατ’ ἀποβολὴν τοῦ υ «ᾧ πὸς ἄγ’ ἱεμένοισι» καὶ τοῦ ἕν καὶ τοῦ δέν, ὅπερ ἰσοδυναμεῖ τῷ τί, ὅπερ συνεχῶς εὑρίσκεται μετὰ τῆς οὐ ἀποφάσεως καὶ τῆς μή ἀπαγορεύσεως οἷον οὐδέν, μηδέν, καὶ χωρὶς τοῦ ὅς «ὃς ἂν ἐθέλῃ, μεινάτω με» καὶ χωρὶς τοῦ πάν παρ’ Αἰο‐</w:t>
      </w:r>
    </w:p>
    <w:p>
      <w:r>
        <w:rPr>
          <w:rFonts w:ascii="Courier New" w:hAnsi="Courier New"/>
          <w:color w:val="555555"/>
          <w:sz w:val="20"/>
        </w:rPr>
        <w:t>[30]</w:t>
      </w:r>
    </w:p>
    <w:p>
      <w:r>
        <w:rPr>
          <w:rFonts w:ascii="Gentium Plus" w:hAnsi="Gentium Plus"/>
          <w:sz w:val="24"/>
        </w:rPr>
        <w:t>λεῦσιν (οἱ γὰρ Αἰολεῖς τοῦ πᾶν τὸ α συστέλλουσι) καὶ χωρὶς τοῦ Δί, ὅπερ ἀπὸ τοῦ Δία γέγονε κατ’ ἀποκοπήν, ὅπερ καὶ μετὰ τοῦ νή ἐπιρ‐ ρήματος γίνεται νὴ Δί.</w:t>
      </w:r>
    </w:p>
    <w:p>
      <w:r>
        <w:rPr>
          <w:rFonts w:ascii="Courier New" w:hAnsi="Courier New"/>
          <w:color w:val="555555"/>
          <w:sz w:val="20"/>
        </w:rPr>
        <w:t>[34]</w:t>
      </w:r>
    </w:p>
    <w:p>
      <w:r>
        <w:rPr>
          <w:rFonts w:ascii="Gentium Plus" w:hAnsi="Gentium Plus"/>
          <w:sz w:val="24"/>
        </w:rPr>
        <w:t>Theogn. 134: τὰ εἰς εις μονοσύλλαβα διὰ τῆς ει διφθόγγου γρα‐</w:t>
      </w:r>
    </w:p>
    <w:p>
      <w:r>
        <w:rPr>
          <w:rFonts w:ascii="Courier New" w:hAnsi="Courier New"/>
          <w:color w:val="555555"/>
          <w:sz w:val="20"/>
        </w:rPr>
        <w:t>[35]</w:t>
      </w:r>
    </w:p>
    <w:p>
      <w:r>
        <w:rPr>
          <w:rFonts w:ascii="Gentium Plus" w:hAnsi="Gentium Plus"/>
          <w:sz w:val="24"/>
        </w:rPr>
        <w:t>φόμενα σπάνιά ἐστιν, ἔστι γὰρ τὸ δείς ὀξύτονον, ὅπερ ἀεὶ μετὰ τῆς</w:t>
      </w:r>
    </w:p>
    <w:p>
      <w:r>
        <w:rPr>
          <w:rFonts w:ascii="Courier New" w:hAnsi="Courier New"/>
          <w:color w:val="555555"/>
          <w:sz w:val="20"/>
        </w:rPr>
        <w:t>[3,2 904]</w:t>
      </w:r>
    </w:p>
    <w:p>
      <w:r>
        <w:rPr>
          <w:rFonts w:ascii="Gentium Plus" w:hAnsi="Gentium Plus"/>
          <w:sz w:val="24"/>
        </w:rPr>
        <w:t>ἔστι δὲ καὶ τὸ κλείς θηλυκὸν καὶ τὸ εἷς ἀρσενικὸν ἐπὶ τοῦ ἀριθμοῦ περισπώμενον ὑγιῶς. αἱ γὰρ εἰς εις ὀξυνόμεναι καὶ ἔχουσαι εἰς εν οὐ‐ δέτερον μετοχαί εἰσιν οἷον τιθείς τιθέν, νυγείς νυγέν. βαρυνόμενα δὲ ὀνόματά ἐστιν οἷον τιμήεις, ἐρόεις. ἐπεὶ οὖν τὸ εἷς εἶχεν οὐδέτερον τὸ</w:t>
      </w:r>
    </w:p>
    <w:p>
      <w:r>
        <w:rPr>
          <w:rFonts w:ascii="Courier New" w:hAnsi="Courier New"/>
          <w:color w:val="555555"/>
          <w:sz w:val="20"/>
        </w:rPr>
        <w:t>[5]</w:t>
      </w:r>
    </w:p>
    <w:p>
      <w:r>
        <w:rPr>
          <w:rFonts w:ascii="Gentium Plus" w:hAnsi="Gentium Plus"/>
          <w:sz w:val="24"/>
        </w:rPr>
        <w:t>ἕν, ἐχρῆν βαρύνεσθαι· οὐκ ἦν δὲ τοῦτό πως διὰ τὴν μονοσυλλαβίαν. ἀναγκαίως περισπᾶται, ἵνα δυνάμει βαρύνηται· ἀμέλει εἰς δισυλλαβίαν μετελθὸν βαρύνεται ἐν τῷ «ὀφθαλμὸς ἕεις ἐπέκειτο μετώπῳ» (Hes. Theog. 145), ἵνα τὴν ὀνοματικὴν σημασίαν ἀποφήναι. οὕτως Ἡρω‐</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