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Ἱστορία Κωνσταντινουπόλεως</w:t>
      </w:r>
      <w:r>
        <w:br/>
      </w:r>
      <w:r>
        <w:rPr>
          <w:i/>
          <w:color w:val="666666"/>
          <w:sz w:val="40"/>
        </w:rPr>
        <w:t>History of Constantinople</w:t>
      </w:r>
    </w:p>
    <w:p>
      <w:pPr>
        <w:jc w:val="center"/>
      </w:pPr>
      <w:r>
        <w:rPr>
          <w:rFonts w:ascii="Times New Roman" w:hAnsi="Times New Roman"/>
          <w:color w:val="1E3A70"/>
          <w:sz w:val="32"/>
        </w:rPr>
        <w:t>Ἡσύχιος ὁ Μιλήσιος ὁ Ἰλλουστρίος</w:t>
      </w:r>
      <w:r>
        <w:br/>
      </w:r>
      <w:r>
        <w:rPr>
          <w:i/>
          <w:color w:val="666666"/>
          <w:sz w:val="28"/>
        </w:rPr>
        <w:t>by Hesychius of Miletus the Illustrious</w:t>
      </w:r>
    </w:p>
    <w:p/>
    <w:p>
      <w:r>
        <w:rPr>
          <w:rFonts w:ascii="Courier New" w:hAnsi="Courier New"/>
          <w:color w:val="555555"/>
          <w:sz w:val="20"/>
        </w:rPr>
        <w:t>[1]</w:t>
      </w:r>
    </w:p>
    <w:p>
      <w:r>
        <w:rPr>
          <w:rFonts w:ascii="Gentium Plus" w:hAnsi="Gentium Plus"/>
          <w:sz w:val="24"/>
        </w:rPr>
        <w:t>contraxit Ang.: ἀλλ’ οὕτω μὲν ἡ Κωνσταντινούπολις κοσμίως ἐναπετελέσθη μετὰ δύο καὶ ἑξή‐ κοντα καὶ τριακοσίων ἀπὸ τῆς Αὐγούστου Καίσαρος μοναρχίας ἐνιαυτῶν. Ἄξιον δὲ καὶ τὰ ταύτης τῆς βασιλίδος πάτρια</w:t>
      </w:r>
    </w:p>
    <w:p>
      <w:r>
        <w:rPr>
          <w:rFonts w:ascii="Courier New" w:hAnsi="Courier New"/>
          <w:color w:val="555555"/>
          <w:sz w:val="20"/>
        </w:rPr>
        <w:t>[5]</w:t>
      </w:r>
    </w:p>
    <w:p>
      <w:r>
        <w:rPr>
          <w:rFonts w:ascii="Gentium Plus" w:hAnsi="Gentium Plus"/>
          <w:sz w:val="24"/>
        </w:rPr>
        <w:t>προσειπεῖν ὅπως τε ἐξ ἀρχῆς αὕτη γέγονε καὶ ὑπὸ τίνων ἄνωθεν ἐπῳκίσθη ἐκ τῶν ἀρχ. ποιητῶν καὶ συγγρ. ἀναλαβόμενοι τὴν</w:t>
      </w:r>
    </w:p>
    <w:p>
      <w:r>
        <w:rPr>
          <w:rFonts w:ascii="Courier New" w:hAnsi="Courier New"/>
          <w:color w:val="555555"/>
          <w:sz w:val="20"/>
        </w:rPr>
        <w:t>[17]</w:t>
      </w:r>
    </w:p>
    <w:p>
      <w:r>
        <w:rPr>
          <w:rFonts w:ascii="Gentium Plus" w:hAnsi="Gentium Plus"/>
          <w:sz w:val="24"/>
        </w:rPr>
        <w:t>Post λόφον inserit Ang haec: Οὗτος οὖν ὁ Αἷμος πολε‐ μήσειν μέλλων τὸν Βύζαντα χρησμοὺς ᾐτεῖτο παρ’ Ἀπόλλωνος καὶ τοιούτους ἐλάμβανεν· Οὔ σέ γε Φοῖβος ἄνωγεν ἀμείνονι φωτὶ μάχεσθαι,</w:t>
      </w:r>
    </w:p>
    <w:p>
      <w:r>
        <w:rPr>
          <w:rFonts w:ascii="Courier New" w:hAnsi="Courier New"/>
          <w:color w:val="555555"/>
          <w:sz w:val="20"/>
        </w:rPr>
        <w:t>[5]</w:t>
      </w:r>
    </w:p>
    <w:p>
      <w:r>
        <w:rPr>
          <w:rFonts w:ascii="Gentium Plus" w:hAnsi="Gentium Plus"/>
          <w:sz w:val="24"/>
        </w:rPr>
        <w:t>κείνου γὰρ θεὸς αὐτὸς ἑὴν ὑπερέσχεθε χεῖρα, ὃν πάσα γῆ τρομέει καὶ οὐρανὸς εὐρὺς ὕπερθεν. Καὶ ταῦτα μὲν τῷ Αἵμῳ ὁ χρησμὸς προηγόρευσεν· ἐγὼ δὲ τὴν ἄνωθεν περὶ τὸ Βυζάντιον τοῦ θεοῦ θαυμάζω πρόνοιαν, ὅπως ἀεὶ σύνηθες τῷ φιλανθρώπῳ θεῷ, διὰ τὴν πρόγνωσιν ἣν ἔχει</w:t>
      </w:r>
    </w:p>
    <w:p>
      <w:r>
        <w:rPr>
          <w:rFonts w:ascii="Courier New" w:hAnsi="Courier New"/>
          <w:color w:val="555555"/>
          <w:sz w:val="20"/>
        </w:rPr>
        <w:t>[10]</w:t>
      </w:r>
    </w:p>
    <w:p>
      <w:r>
        <w:rPr>
          <w:rFonts w:ascii="Gentium Plus" w:hAnsi="Gentium Plus"/>
          <w:sz w:val="24"/>
        </w:rPr>
        <w:t>προλαμβάνειν ἀεὶ ταῖς εὐεργεσίαις τοὺς περὶ αὐτὸν εὐσεβεῖν μέλλοντας, ὡς καὶ τοὺς χρησμοὺς εἰ καὶ ἐκ τῶν ἐναντίων, ἀλλ’</w:t>
      </w:r>
    </w:p>
    <w:p>
      <w:r>
        <w:rPr>
          <w:rFonts w:ascii="Courier New" w:hAnsi="Courier New"/>
          <w:color w:val="555555"/>
          <w:sz w:val="20"/>
        </w:rPr>
        <w:t>[41]</w:t>
      </w:r>
    </w:p>
    <w:p>
      <w:r>
        <w:rPr>
          <w:rFonts w:ascii="Gentium Plus" w:hAnsi="Gentium Plus"/>
          <w:sz w:val="24"/>
        </w:rPr>
        <w:t>post πολίταις inserit Ang: Τούτου δὲ τοῦ κίονος τοῖς θεμελίοις τε καὶ προσβάσεσι καὶ ξύλα τίμια καὶ ἁγίων λείψανα καὶ ὅσοι τοὺς τῆς εὐλογίας ἄρτους ἔφερον κό‐ φινοι καὶ οἱ τῶν λῃστῶν δύο σταυροὶ καὶ τὸ τοῦ ἁγίου μύρου</w:t>
      </w:r>
    </w:p>
    <w:p>
      <w:r>
        <w:rPr>
          <w:rFonts w:ascii="Courier New" w:hAnsi="Courier New"/>
          <w:color w:val="555555"/>
          <w:sz w:val="20"/>
        </w:rPr>
        <w:t>[5]</w:t>
      </w:r>
    </w:p>
    <w:p>
      <w:r>
        <w:rPr>
          <w:rFonts w:ascii="Gentium Plus" w:hAnsi="Gentium Plus"/>
          <w:sz w:val="24"/>
        </w:rPr>
        <w:t>ἀλάβαστρον πρὸς στηριγμὸν καὶ ἀσφάλειαν παρετέθησαν. εἰ δὲ καὶ τὸ Παλλάδιον, εὐτυχίας θρυλλούμενον σύμβολον, ἐκ Ῥώμης ἀνακομισθῆναι τότε ἡ σύγκλητος ἔπεισεν, ὥς φασί τινες, καὶ τοῖς θεμελίοις προστεθῆναι τοῦ κίονος, τοῦτο πάντως ἔργον ἐκείνοις ἀνδράσιν ἐστὶ πρὸς μυθώδη λῆρον εὐδαιμονίας ἐπτοη‐</w:t>
      </w:r>
    </w:p>
    <w:p>
      <w:r>
        <w:rPr>
          <w:rFonts w:ascii="Courier New" w:hAnsi="Courier New"/>
          <w:color w:val="555555"/>
          <w:sz w:val="20"/>
        </w:rPr>
        <w:t>[10]</w:t>
      </w:r>
    </w:p>
    <w:p>
      <w:r>
        <w:rPr>
          <w:rFonts w:ascii="Gentium Plus" w:hAnsi="Gentium Plus"/>
          <w:sz w:val="24"/>
        </w:rPr>
        <w:t>μένοις.</w:t>
      </w:r>
    </w:p>
    <w:p>
      <w:r>
        <w:rPr>
          <w:rFonts w:ascii="Courier New" w:hAnsi="Courier New"/>
          <w:color w:val="555555"/>
          <w:sz w:val="20"/>
        </w:rPr>
        <w:t>[41bis]</w:t>
      </w:r>
    </w:p>
    <w:p>
      <w:r>
        <w:rPr>
          <w:rFonts w:ascii="Gentium Plus" w:hAnsi="Gentium Plus"/>
          <w:sz w:val="24"/>
        </w:rPr>
        <w:t>post αὐλὴν inserit Ang: Ὁ δὲ βασιλεὺς οὐ μόνον οἴκους ἐν Κωνσταντινουπόλει περιφανεῖς κατὰ μί‐ μησιν Ῥώμης καὶ τὸ Καπετώλιον ἔκτισεν, ἀλλὰ καὶ θείους τε καὶ ἱεροὺς ναοὺς πολυτελῶς ἀνεδείματο, τόν τε τῆς ἁγίας Εἰρή‐</w:t>
      </w:r>
    </w:p>
    <w:p>
      <w:r>
        <w:rPr>
          <w:rFonts w:ascii="Courier New" w:hAnsi="Courier New"/>
          <w:color w:val="555555"/>
          <w:sz w:val="20"/>
        </w:rPr>
        <w:t>[5]</w:t>
      </w:r>
    </w:p>
    <w:p>
      <w:r>
        <w:rPr>
          <w:rFonts w:ascii="Gentium Plus" w:hAnsi="Gentium Plus"/>
          <w:sz w:val="24"/>
        </w:rPr>
        <w:t>νης ναὸν καὶ τῶν σεβασμίων καὶ κορυφαίων Χριστοῦ μαθητῶν καὶ τοῦ ἁγίου Μωκίου καὶ τὸν τοῦ ἀρχαγγέλου Μιχαὴλ τοῦ ἐν τῷ Ἀνάπλῳ καὶ τοῦ ἐν τῷ Σωσθένει, ἐν ᾧ Σωκράτης διισχυ‐ ρίζεται Κωνσταντῖνον πολλὰ παράδοξα σημεῖα καὶ ἰδεῖν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