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Νόμος</w:t>
      </w:r>
      <w:r>
        <w:br/>
      </w:r>
      <w:r>
        <w:rPr>
          <w:i/>
          <w:color w:val="666666"/>
          <w:sz w:val="40"/>
        </w:rPr>
        <w:t>Law</w:t>
      </w:r>
    </w:p>
    <w:p>
      <w:pPr>
        <w:jc w:val="center"/>
      </w:pPr>
      <w:r>
        <w:rPr>
          <w:rFonts w:ascii="Times New Roman" w:hAnsi="Times New Roman"/>
          <w:color w:val="1E3A70"/>
          <w:sz w:val="32"/>
        </w:rPr>
        <w:t>Ἱπποκράτης καὶ τὸ Ἱπποκρατικὸν Σῶμα</w:t>
      </w:r>
      <w:r>
        <w:br/>
      </w:r>
      <w:r>
        <w:rPr>
          <w:i/>
          <w:color w:val="666666"/>
          <w:sz w:val="28"/>
        </w:rPr>
        <w:t>by Hippocrates and the Hippocratic Corpus</w:t>
      </w:r>
    </w:p>
    <w:p/>
    <w:p>
      <w:pPr>
        <w:jc w:val="center"/>
      </w:pPr>
      <w:r>
        <w:rPr>
          <w:rFonts w:ascii="Gentium Plus" w:hAnsi="Gentium Plus"/>
          <w:b/>
          <w:sz w:val="24"/>
        </w:rPr>
        <w:t>ΝΟΜΟΣ.</w:t>
      </w:r>
    </w:p>
    <w:p>
      <w:r>
        <w:rPr>
          <w:rFonts w:ascii="Courier New" w:hAnsi="Courier New"/>
          <w:color w:val="555555"/>
          <w:sz w:val="20"/>
        </w:rPr>
        <w:t>[1]</w:t>
      </w:r>
    </w:p>
    <w:p>
      <w:r>
        <w:rPr>
          <w:rFonts w:ascii="Gentium Plus" w:hAnsi="Gentium Plus"/>
          <w:sz w:val="24"/>
        </w:rPr>
        <w:t>Ἰητρικὴ τεχνέων μὲν πασέων ἐστὶν ἐπιφανεστάτη· διὰ δὲ ἀμαθίην τῶν τε χρεομένων αὐτῇ, καὶ τῶν εἰκῆ τοὺς τοιούσδε κρι‐ νόντων, πολύ τι πασέων ἤδη τῶν τεχνέων ἀπολείπεται. Ἡ δὲ τῶνδε ἁμαρτὰς τὰ μάλιστά μοι δοκέει ἔχειν αἰτίην τοιήνδε· πρόστιμον</w:t>
      </w:r>
    </w:p>
    <w:p>
      <w:r>
        <w:rPr>
          <w:rFonts w:ascii="Courier New" w:hAnsi="Courier New"/>
          <w:color w:val="555555"/>
          <w:sz w:val="20"/>
        </w:rPr>
        <w:t>[5]</w:t>
      </w:r>
    </w:p>
    <w:p>
      <w:r>
        <w:rPr>
          <w:rFonts w:ascii="Gentium Plus" w:hAnsi="Gentium Plus"/>
          <w:sz w:val="24"/>
        </w:rPr>
        <w:t>γὰρ ἰητρικῆς μούνης ἐν τῇσι πόλεσιν οὐδὲν ὥρισται, πλὴν ἀδοξίης· αὕτη δὲ οὐ τιτρώσκει τοὺς ἐξ αὐτέης συγκειμένους. Ὁμοιότατοι γάρ εἰσιν οἱ τοιοίδε τοῖσι παρεισαγομένοισι προσώποισιν ἐν τῇσι τρα‐ γῳδίῃσιν· ὡς γὰρ ἐκεῖνοι σχῆμα μὲν καὶ στολὴν καὶ πρόσωπον ὑποκριτοῦ ἔχουσιν, οὐκ εἰσὶ δὲ ὑποκριταὶ, οὕτω καὶ ἰητροὶ, φήμῃ</w:t>
      </w:r>
    </w:p>
    <w:p>
      <w:r>
        <w:rPr>
          <w:rFonts w:ascii="Courier New" w:hAnsi="Courier New"/>
          <w:color w:val="555555"/>
          <w:sz w:val="20"/>
        </w:rPr>
        <w:t>[10]</w:t>
      </w:r>
    </w:p>
    <w:p>
      <w:r>
        <w:rPr>
          <w:rFonts w:ascii="Gentium Plus" w:hAnsi="Gentium Plus"/>
          <w:sz w:val="24"/>
        </w:rPr>
        <w:t>μὲν πολλοὶ, ἔργῳ δὲ πάγχυ βαιοί.</w:t>
      </w:r>
    </w:p>
    <w:p>
      <w:r>
        <w:rPr>
          <w:rFonts w:ascii="Courier New" w:hAnsi="Courier New"/>
          <w:color w:val="555555"/>
          <w:sz w:val="20"/>
        </w:rPr>
        <w:t>[2]</w:t>
      </w:r>
    </w:p>
    <w:p>
      <w:r>
        <w:rPr>
          <w:rFonts w:ascii="Gentium Plus" w:hAnsi="Gentium Plus"/>
          <w:sz w:val="24"/>
        </w:rPr>
        <w:t>Χρὴ γὰρ, ὅστις μέλλει ἰητρικῆς ξύνεσιν ἀτρεκέως ἁρμόζεσθαι, τῶνδέ μιν ἐπήβολον γενέσθαι· φύσιος· διδασκαλίης· τόπου εὐφυέος· παιδομαθίης· φιλοπονίης· χρόνου. Πρῶτον μὲν οὖν πάντων δεῖ</w:t>
      </w:r>
    </w:p>
    <w:p>
      <w:r>
        <w:rPr>
          <w:rFonts w:ascii="Courier New" w:hAnsi="Courier New"/>
          <w:color w:val="555555"/>
          <w:sz w:val="20"/>
        </w:rPr>
        <w:t>[5]</w:t>
      </w:r>
    </w:p>
    <w:p>
      <w:r>
        <w:rPr>
          <w:rFonts w:ascii="Gentium Plus" w:hAnsi="Gentium Plus"/>
          <w:sz w:val="24"/>
        </w:rPr>
        <w:t>ἐς τὸ ἄριστον ὁδηγεούσης, διδασκαλίη τέχνης γίνεται· ἣν μετὰ φρονήσιος δεῖ περιποιήσασθαι, παιδομαθέα γενόμενον ἐν τόπῳ, ὁκοῖος εὐφυὴς πρὸς μάθησιν ἔσται· ἔτι δὲ φιλοπονίην προσενέγκα‐ σθαι ἐς χρόνον πουλὺν, ὅκως ἡ μάθησις, ἐμφυσιωθεῖσα, δεξιῶς τε καὶ εὐαλδέως τοὺς καρποὺς ἐξενέγκηται.</w:t>
      </w:r>
    </w:p>
    <w:p>
      <w:r>
        <w:rPr>
          <w:rFonts w:ascii="Courier New" w:hAnsi="Courier New"/>
          <w:color w:val="555555"/>
          <w:sz w:val="20"/>
        </w:rPr>
        <w:t>[3]</w:t>
      </w:r>
    </w:p>
    <w:p>
      <w:r>
        <w:rPr>
          <w:rFonts w:ascii="Gentium Plus" w:hAnsi="Gentium Plus"/>
          <w:sz w:val="24"/>
        </w:rPr>
        <w:t>Ὁκοίη γὰρ τῶν ἐν τῇ γῇ φυομένων [ἡ] θεωρίη, τοιήδε καὶ τῆς ἰητρικῆς ἡ μάθησις. Ἡ μὲν γὰρ φύσις ἡμέων, ὁκοῖον ἡ χώρη· τὰ δὲ δόγματα τῶν διδασκόντων, ὁκοῖον τὰ σπέρματα· ἡ δὲ παιδο‐ μαθίη, τὸ καθ’ ὥρην αὐτὰ πεσεῖν εἰς τὴν ἄρουραν· ὁ δὲ τόπος ἐν</w:t>
      </w:r>
    </w:p>
    <w:p>
      <w:r>
        <w:rPr>
          <w:rFonts w:ascii="Courier New" w:hAnsi="Courier New"/>
          <w:color w:val="555555"/>
          <w:sz w:val="20"/>
        </w:rPr>
        <w:t>[5]</w:t>
      </w:r>
    </w:p>
    <w:p>
      <w:r>
        <w:rPr>
          <w:rFonts w:ascii="Gentium Plus" w:hAnsi="Gentium Plus"/>
          <w:sz w:val="24"/>
        </w:rPr>
        <w:t>ᾧ ἡ μάθησις, ὁκοῖον ἡ ἐκ τοῦ περιέχοντος ἠέρος τροφὴ γιγνομένη τοῖσι φυομένοισιν· ἡ δὲ φιλοπονίη, ἐργασίη· ὁ δὲ χρόνος ταῦτα ἐνισχύει πάντα, ὡς τραφῆναι τελέως.</w:t>
      </w:r>
    </w:p>
    <w:p>
      <w:r>
        <w:rPr>
          <w:rFonts w:ascii="Courier New" w:hAnsi="Courier New"/>
          <w:color w:val="555555"/>
          <w:sz w:val="20"/>
        </w:rPr>
        <w:t>[4]</w:t>
      </w:r>
    </w:p>
    <w:p>
      <w:r>
        <w:rPr>
          <w:rFonts w:ascii="Gentium Plus" w:hAnsi="Gentium Plus"/>
          <w:sz w:val="24"/>
        </w:rPr>
        <w:t>Ταῦτα ὦν χρὴ ἐς τὴν ἰητρικὴν τέχνην ἐσενεγκαμένους, καὶ ἀτρεκέως αὐτέης γνῶσιν λαβόντας, οὕτως ἀνὰ τὰς πόλιας φοιτεῦν‐ τας, μὴ λόγῳ μοῦνον, ἀλλὰ καὶ ἔργῳ ἰητροὺς νομίζεσθαι. Ἡ δὲ ἀπειρίη, κακὸς θησαυρὸς καὶ κακὸν κειμήλιον τοῖσιν ἔχουσιν αὐ‐</w:t>
      </w:r>
    </w:p>
    <w:p>
      <w:r>
        <w:rPr>
          <w:rFonts w:ascii="Courier New" w:hAnsi="Courier New"/>
          <w:color w:val="555555"/>
          <w:sz w:val="20"/>
        </w:rPr>
        <w:t>[5]</w:t>
      </w:r>
    </w:p>
    <w:p>
      <w:r>
        <w:rPr>
          <w:rFonts w:ascii="Gentium Plus" w:hAnsi="Gentium Plus"/>
          <w:sz w:val="24"/>
        </w:rPr>
        <w:t>τέην, καὶ ὄναρ καὶ ὕπαρ, εὐθυμίης τε καὶ εὐφροσύνης ἄμοιρος, δειλίης</w:t>
      </w:r>
    </w:p>
    <w:p>
      <w:r>
        <w:rPr>
          <w:rFonts w:ascii="Courier New" w:hAnsi="Courier New"/>
          <w:color w:val="555555"/>
          <w:sz w:val="20"/>
        </w:rPr>
        <w:t>[5]</w:t>
      </w:r>
    </w:p>
    <w:p>
      <w:r>
        <w:rPr>
          <w:rFonts w:ascii="Gentium Plus" w:hAnsi="Gentium Plus"/>
          <w:sz w:val="24"/>
        </w:rPr>
        <w:t>Τὰ δὲ ἱερὰ ἐόντα πρήγματα ἱεροῖσιν ἀνθρώποισι δείκνυται·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