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 τῆς Ἑρμηνείας τῆς Ῥούθ</w:t>
      </w:r>
      <w:r>
        <w:br/>
      </w:r>
      <w:r>
        <w:rPr>
          <w:i/>
          <w:color w:val="666666"/>
          <w:sz w:val="40"/>
        </w:rPr>
        <w:t>From the Interpretation of Ruth</w:t>
      </w:r>
    </w:p>
    <w:p>
      <w:pPr>
        <w:jc w:val="center"/>
      </w:pPr>
      <w:r>
        <w:rPr>
          <w:rFonts w:ascii="Times New Roman" w:hAnsi="Times New Roman"/>
          <w:color w:val="1E3A70"/>
          <w:sz w:val="32"/>
        </w:rPr>
        <w:t>Ἱππόλυτος ὁ Ῥωμαῖος</w:t>
      </w:r>
      <w:r>
        <w:br/>
      </w:r>
      <w:r>
        <w:rPr>
          <w:i/>
          <w:color w:val="666666"/>
          <w:sz w:val="28"/>
        </w:rPr>
        <w:t>by Hippolytus of Rome</w:t>
      </w:r>
    </w:p>
    <w:p/>
    <w:p>
      <w:pPr>
        <w:jc w:val="center"/>
      </w:pPr>
      <w:r>
        <w:rPr>
          <w:rFonts w:ascii="Gentium Plus" w:hAnsi="Gentium Plus"/>
          <w:b/>
          <w:sz w:val="24"/>
        </w:rPr>
        <w:t>ΕΚ ΤΗΣ ΕΡΜΗΝΕΙΑΣ ΡΟΥΘ</w:t>
      </w:r>
    </w:p>
    <w:p>
      <w:r>
        <w:rPr>
          <w:rFonts w:ascii="Courier New" w:hAnsi="Courier New"/>
          <w:color w:val="555555"/>
          <w:sz w:val="20"/>
        </w:rPr>
        <w:t>[1]</w:t>
      </w:r>
    </w:p>
    <w:p>
      <w:r>
        <w:rPr>
          <w:rFonts w:ascii="Gentium Plus" w:hAnsi="Gentium Plus"/>
          <w:sz w:val="24"/>
        </w:rPr>
        <w:t>Τοῦ ἁγίου Ἱππολύτου ἐπισκόπου Ῥώμης ἐκ τῆς ἑρμηνείας Ῥοὺθ μαρτυρία. Φησὶ Βοὸζ πρὸς τὴν Ῥοὺθ „βάψεις τὸν ψωμόν σου ἐν τῷ ὄξει“, „καὶ ἔσται ἐὰν διψήσεις καὶ πορεύσῃ εἰς τὰ σκεύη καὶ πίεσαι ὅθεν</w:t>
      </w:r>
    </w:p>
    <w:p>
      <w:r>
        <w:rPr>
          <w:rFonts w:ascii="Courier New" w:hAnsi="Courier New"/>
          <w:color w:val="555555"/>
          <w:sz w:val="20"/>
        </w:rPr>
        <w:t>[5]</w:t>
      </w:r>
    </w:p>
    <w:p>
      <w:r>
        <w:rPr>
          <w:rFonts w:ascii="Gentium Plus" w:hAnsi="Gentium Plus"/>
          <w:sz w:val="24"/>
        </w:rPr>
        <w:t>ἂν ὑδρεύονται τὰ παιδάρια“. πρῶτον γὰρ τὸ πάθος ἔδει διδαχθῆναι τὴν ἐκκλησίαν εἶθ’ οὕτως λαβεῖν διὰ τῶν ἀποστόλων τὸ βάπτισμα. παιδάρια γὰρ οὐκ ἄλλα τινὰ εἴη, ἀλλὰ προφῆται καὶ ἀπόστολοι, οἳ „σκεύη ἐκλεκτὰ καὶ τίμια“ γενηθέντες ὑδρεύσαντο ἐκ τῆς ἀεννάου πη‐ γῆς τὸ τῆς ἀθανασίας πόμα, ἵνα μεταλαβόντες τὴν παρὰ Χριστοῦ</w:t>
      </w:r>
    </w:p>
    <w:p>
      <w:r>
        <w:rPr>
          <w:rFonts w:ascii="Courier New" w:hAnsi="Courier New"/>
          <w:color w:val="555555"/>
          <w:sz w:val="20"/>
        </w:rPr>
        <w:t>[10]</w:t>
      </w:r>
    </w:p>
    <w:p>
      <w:r>
        <w:rPr>
          <w:rFonts w:ascii="Gentium Plus" w:hAnsi="Gentium Plus"/>
          <w:sz w:val="24"/>
        </w:rPr>
        <w:t>χάριν ποτίσαι δεδιψηκότα ἔθνη δυνηθῶσιν· ὡς καὶ Ἡσαΐας λέγει „οἱ διψῶντες πορεύεσθε ἐφ’ ὕδωρ, καὶ ὅσοι οὐκ ἔχετε ἀργύριον βαδίσαντες δωρεὰν ἀγοράσατε ἄνευ τιμῆσ“. οἱ γὰρ πιστοὶ πρὸς τὸ εὐαγγέλιον προσερχόμενοι δωρεὰν τὴν χάριν παρὰ θεῷ κτῶνται, οὐ χρήμασι τοῦτο ἐξαγοράζοντες ὡς τινὲς τῶν ἀφρόνων νῦν τοῦτο ποιεῖν ἐπι‐</w:t>
      </w:r>
    </w:p>
    <w:p>
      <w:r>
        <w:rPr>
          <w:rFonts w:ascii="Courier New" w:hAnsi="Courier New"/>
          <w:color w:val="555555"/>
          <w:sz w:val="20"/>
        </w:rPr>
        <w:t>[15]</w:t>
      </w:r>
    </w:p>
    <w:p>
      <w:r>
        <w:rPr>
          <w:rFonts w:ascii="Gentium Plus" w:hAnsi="Gentium Plus"/>
          <w:sz w:val="24"/>
        </w:rPr>
        <w:t>χειροῦσιν, ἑαυτοῖς τε καὶ τοῖς λαμβάνουσι „κρίμα θανάτου“ ἐπιφέρον‐ τες· οὐ γὰρ ἔγνωσαν τὸ εἰρημένον ὑπὸ τοῦ μακαρίου Πέτρου πρὸς τὸν Σίμωνα ὅτι „τὸ ἀργύριόν σου σὺν σοὶ εἰς ἀπώλειαν, ἀνθ’ ὧν τὴν χάριν καὶ τὴν δωρεὰν τοῦ θεοῦ ἠθέλησας ἀργυρίῳ κτᾶσθαι. οὐκ ἔστιν σοι μερὶς οὐδὲ κλῆρος ἐν τῷ λόγῳ τούτῳ.“ ὥστε ὅσοι πει‐</w:t>
      </w:r>
    </w:p>
    <w:p>
      <w:r>
        <w:rPr>
          <w:rFonts w:ascii="Courier New" w:hAnsi="Courier New"/>
          <w:color w:val="555555"/>
          <w:sz w:val="20"/>
        </w:rPr>
        <w:t>[20]</w:t>
      </w:r>
    </w:p>
    <w:p>
      <w:r>
        <w:rPr>
          <w:rFonts w:ascii="Gentium Plus" w:hAnsi="Gentium Plus"/>
          <w:sz w:val="24"/>
        </w:rPr>
        <w:t>ρῶνται εἴτε ἀγοράζειν εἴτε πωλεῖν „μέρος μετὰ Χριστοῦ ἔχειν“ οὐ δύνανται, οὐκ „οἰκονόμοι πιστοὶ“ ἀλλὰ χριστέμποροι ὑπάρχοντες, καθ’ ἡμέραν τὸν ἴδιον δεσπότην πωλοῦντες. καὶ Ἰούδας μὲν ἅπαξ τὸν Χριστὸν πωλήσας „πρηνὴς γενάμενος ἐλάκησεν μέσοσ“, οὗτοι δὲ χεί‐ ρονα τοῦ Ἰούδα ποιοῦντες „τὴν κρίσιν τοῦ θεοῦ ἐκφυγεῖν“ ὑπολαμ‐</w:t>
      </w:r>
    </w:p>
    <w:p>
      <w:r>
        <w:rPr>
          <w:rFonts w:ascii="Courier New" w:hAnsi="Courier New"/>
          <w:color w:val="555555"/>
          <w:sz w:val="20"/>
        </w:rPr>
        <w:t>[25]</w:t>
      </w:r>
    </w:p>
    <w:p>
      <w:r>
        <w:rPr>
          <w:rFonts w:ascii="Gentium Plus" w:hAnsi="Gentium Plus"/>
          <w:sz w:val="24"/>
        </w:rPr>
        <w:t>βάνουσιν.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