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Ῥωμαϊκὴ Χρονική</w:t>
      </w:r>
      <w:r>
        <w:br/>
      </w:r>
      <w:r>
        <w:rPr>
          <w:i/>
          <w:color w:val="666666"/>
          <w:sz w:val="40"/>
        </w:rPr>
        <w:t>Roman Chronicle</w:t>
      </w:r>
    </w:p>
    <w:p>
      <w:pPr>
        <w:jc w:val="center"/>
      </w:pPr>
      <w:r>
        <w:rPr>
          <w:rFonts w:ascii="Times New Roman" w:hAnsi="Times New Roman"/>
          <w:color w:val="1E3A70"/>
          <w:sz w:val="32"/>
        </w:rPr>
        <w:t>Ἀνώνυμος ἱστορικός (ἀποσπάσματα)</w:t>
      </w:r>
      <w:r>
        <w:br/>
      </w:r>
      <w:r>
        <w:rPr>
          <w:i/>
          <w:color w:val="666666"/>
          <w:sz w:val="28"/>
        </w:rPr>
        <w:t>by Historical Fragments  Anonymous</w:t>
      </w:r>
    </w:p>
    <w:p/>
    <w:p>
      <w:r>
        <w:rPr>
          <w:rFonts w:ascii="Courier New" w:hAnsi="Courier New"/>
          <w:color w:val="555555"/>
          <w:sz w:val="20"/>
        </w:rPr>
        <w:t>[2b,252,F 1]</w:t>
      </w:r>
    </w:p>
    <w:p>
      <w:r>
        <w:rPr>
          <w:rFonts w:ascii="Gentium Plus" w:hAnsi="Gentium Plus"/>
          <w:sz w:val="24"/>
        </w:rPr>
        <w:t>(1) [ἀφ’ οὗ Σύλλας] ἐπὶ Μιθ[ραδατικὸν πόλ]εμον ἐξῆλ[θεν, καὶ Σ]ωτὴρ ὁ Φύσκων πα[ρακληθεὶς] τὸ δεύτερον καὶ κα[τελ]θὼν εἰς Αἴγυπτον ἐβασί‐ λευσεν, ἀφ’ οὗ ἔτη ργ. (2) ἀφ’ οὗ Μάριος Ὠστίαν καταλαβόμενος καὶ ἀναγκάσας σ̣υ̣ν̣[θέσ]θαι</w:t>
      </w:r>
    </w:p>
    <w:p>
      <w:r>
        <w:rPr>
          <w:rFonts w:ascii="Courier New" w:hAnsi="Courier New"/>
          <w:color w:val="555555"/>
          <w:sz w:val="20"/>
        </w:rPr>
        <w:t>[5]</w:t>
      </w:r>
    </w:p>
    <w:p>
      <w:r>
        <w:rPr>
          <w:rFonts w:ascii="Gentium Plus" w:hAnsi="Gentium Plus"/>
          <w:sz w:val="24"/>
        </w:rPr>
        <w:t>οὐκ ἐμμείνας τῆι πίστει Ὀκταούιον ἀπέκτεινεν, Σύλλας δ’ ἐπὶ τῆς Ἀττικῆς Ἀθήνας ἐξεπολιόρκησεν, ἔτη ρβ. (3) ἀφ’ οὗ Φιμβρίας Μιθραδάτου στρατόπεδον περὶ Κύζικον ἐνίκησεν καὶ Ἴλιον ἐξεπολιόρκησεν καὶ ὑπὸ Σύλλα συσχεθεὶς ἑαυτὸν ἀνεῖλεν, καὶ Μιθραδάτης πρὸς Σύλλαν συνθήκας ἐποιήσατο, καὶ Φιλοπάτωρ τὸ δεύτερον</w:t>
      </w:r>
    </w:p>
    <w:p>
      <w:r>
        <w:rPr>
          <w:rFonts w:ascii="Courier New" w:hAnsi="Courier New"/>
          <w:color w:val="555555"/>
          <w:sz w:val="20"/>
        </w:rPr>
        <w:t>[10]</w:t>
      </w:r>
    </w:p>
    <w:p>
      <w:r>
        <w:rPr>
          <w:rFonts w:ascii="Gentium Plus" w:hAnsi="Gentium Plus"/>
          <w:sz w:val="24"/>
        </w:rPr>
        <w:t>εἰς Βιθυνίαν κατελθὼν ἐβασίλευσεν, καὶ Ἀριοβαρζάνης εἰς Καππαδοκίαν κατήχθη, ἀφ’ οὗ ἔτη ρ. (4) ἀφ’ οὗ Σύλλας Νωρβανὸν νικᾶι περὶ Καπύην καὶ Μάριον τὸν ὕπατον (82) ἐν Πραινεστῶι συνκλείσας διαδράσκοντα ἀπέκτεινεν, ἀφ’ οὗ ἔτη ϙη.</w:t>
      </w:r>
    </w:p>
    <w:p>
      <w:r>
        <w:rPr>
          <w:rFonts w:ascii="Courier New" w:hAnsi="Courier New"/>
          <w:color w:val="555555"/>
          <w:sz w:val="20"/>
        </w:rPr>
        <w:t>[15]</w:t>
      </w:r>
    </w:p>
    <w:p>
      <w:r>
        <w:rPr>
          <w:rFonts w:ascii="Gentium Plus" w:hAnsi="Gentium Plus"/>
          <w:sz w:val="24"/>
        </w:rPr>
        <w:t>(5) [ἀφ’] οὗ Σύλλας δικτάτωρ ἐγένετο, ἔτη μέχρι τοῦδε ϙζ. (6) [ἀφ’ οὗ Σωτὴρ] ὁ Φύσκων ἐπι[κληθεὶς ἀπέθα]νεν ϙϛ.</w:t>
      </w:r>
    </w:p>
    <w:p>
      <w:r>
        <w:rPr>
          <w:rFonts w:ascii="Courier New" w:hAnsi="Courier New"/>
          <w:color w:val="555555"/>
          <w:sz w:val="20"/>
        </w:rPr>
        <w:t>[2b,252,F 2]</w:t>
      </w:r>
    </w:p>
    <w:p>
      <w:r>
        <w:rPr>
          <w:rFonts w:ascii="Gentium Plus" w:hAnsi="Gentium Plus"/>
          <w:sz w:val="24"/>
        </w:rPr>
        <w:t>(1) ἀφ’ [οὗ] ........το** (2) ἀφ’ οὗ Σ[όλων Ἀθηναίων ἦρξεν καὶ] νόμου[ς αὐτοῖς ἔθηκεν, καὶ] Ἀνάχαρσις ὁ Σκ[ύθης εἰς Ἀθήνας ?] παρεγένετο, ἀφ’ [οὗ ἔτη *]. (3) ἀφ’ οὗ Κροῖσος Λυδῶν ἐβα[σίλευσεν, ἔτη *].</w:t>
      </w:r>
    </w:p>
    <w:p>
      <w:r>
        <w:rPr>
          <w:rFonts w:ascii="Courier New" w:hAnsi="Courier New"/>
          <w:color w:val="555555"/>
          <w:sz w:val="20"/>
        </w:rPr>
        <w:t>[5]</w:t>
      </w:r>
    </w:p>
    <w:p>
      <w:r>
        <w:rPr>
          <w:rFonts w:ascii="Gentium Plus" w:hAnsi="Gentium Plus"/>
          <w:sz w:val="24"/>
        </w:rPr>
        <w:t>(4) ἀφ’ οὗ οἱ σοφοὶ ὠνομάσθησαν, [ἔτη *]. (5) ἀφ’ οὗ Πεισίστρατος ἐτυράννευσ[εν ἐν Ἀθή]ναις, καὶ Αἴσωπος ὑπὸ Δελφῶν [κατεκρη]μνίσθη, ἔτη φοθ.</w:t>
      </w:r>
    </w:p>
    <w:p>
      <w:r>
        <w:rPr>
          <w:rFonts w:ascii="Courier New" w:hAnsi="Courier New"/>
          <w:color w:val="555555"/>
          <w:sz w:val="20"/>
        </w:rPr>
        <w:t>[10]</w:t>
      </w:r>
    </w:p>
    <w:p>
      <w:r>
        <w:rPr>
          <w:rFonts w:ascii="Gentium Plus" w:hAnsi="Gentium Plus"/>
          <w:sz w:val="24"/>
        </w:rPr>
        <w:t>ἔτη φμ. (8) ἀφ’ οὗ Ἁρμόδιος καὶ Ἀριστογείτων Ἵππαρχον τὸν τύραννον ἀνεῖλον, [καὶ] Δαρεῖος ἐπὶ Σκύθας διέβη, ζεύξα[ς τὸν] Κιμμέριον Βώσπορον, ἔτη φκη. (9) ἀφ’ οὗ Ξέρξης κατὰ Ἄβυδον ζεύξας [τὸν] Ἑλλήσποντον διέβη,</w:t>
      </w:r>
    </w:p>
    <w:p>
      <w:r>
        <w:rPr>
          <w:rFonts w:ascii="Courier New" w:hAnsi="Courier New"/>
          <w:color w:val="555555"/>
          <w:sz w:val="20"/>
        </w:rPr>
        <w:t>[15]</w:t>
      </w:r>
    </w:p>
    <w:p>
      <w:r>
        <w:rPr>
          <w:rFonts w:ascii="Gentium Plus" w:hAnsi="Gentium Plus"/>
          <w:sz w:val="24"/>
        </w:rPr>
        <w:t>καὶ Θεμιστοκλῆς ναυμαχίαι τοὺς βαρβάρους ἐνίκα, ἀφ’ οὗ ἔτη υϙ *. (10) ἀφ’ οὗ Σωκράτης ὁ φιλόσοφος [καὶ Ἡρά]κλειτος ὁ Ἐφέσιος καὶ Ἀναξα[γόρας] καὶ Παρμενίδης καὶ Ζήνων, ἔτη *. (11) ἀφ’ οὗ ὁ Πελοποννησιακὸς πόλ[εμος] ἐνέστη, καὶ Θουκυδίδης ἦν, ἔτη *.</w:t>
      </w:r>
    </w:p>
    <w:p>
      <w:r>
        <w:rPr>
          <w:rFonts w:ascii="Courier New" w:hAnsi="Courier New"/>
          <w:color w:val="555555"/>
          <w:sz w:val="20"/>
        </w:rPr>
        <w:t>[20]</w:t>
      </w:r>
    </w:p>
    <w:p>
      <w:r>
        <w:rPr>
          <w:rFonts w:ascii="Gentium Plus" w:hAnsi="Gentium Plus"/>
          <w:sz w:val="24"/>
        </w:rPr>
        <w:t>(12) ἀφ’ οὗ Γαλάται Ῥωμαίους νική[σαντες] ἔσχον Ῥώμην, ἔτη υα.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