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Ψευδο-Ἰουστῖνος ὁ ἀπολογητής</w:t>
      </w:r>
      <w:r>
        <w:br/>
      </w:r>
      <w:r>
        <w:rPr>
          <w:i/>
          <w:color w:val="666666"/>
          <w:sz w:val="28"/>
        </w:rPr>
        <w:t>by Pseudo-Justin the Christian Apologist</w:t>
      </w:r>
    </w:p>
    <w:p/>
    <w:p>
      <w:pPr>
        <w:jc w:val="center"/>
      </w:pPr>
      <w:r>
        <w:rPr>
          <w:rFonts w:ascii="Gentium Plus" w:hAnsi="Gentium Plus"/>
          <w:b/>
          <w:sz w:val="24"/>
        </w:rPr>
        <w:t>FRAGMENTA PSEVDO–IVSTINI</w:t>
      </w:r>
    </w:p>
    <w:p>
      <w:r>
        <w:rPr>
          <w:rFonts w:ascii="Courier New" w:hAnsi="Courier New"/>
          <w:color w:val="555555"/>
          <w:sz w:val="20"/>
        </w:rPr>
        <w:t>[1]</w:t>
      </w:r>
    </w:p>
    <w:p>
      <w:r>
        <w:rPr>
          <w:rFonts w:ascii="Gentium Plus" w:hAnsi="Gentium Plus"/>
          <w:sz w:val="24"/>
        </w:rPr>
        <w:t>Δι’ ἀμφοῖν τοῖν ὀρνέοιν σημαίνεται ὁ Χριστός, καὶ τε‐ θνεὼς ὡς ἄνθρωπος καὶ ζῶν ὡς θεός. Ὀρνιθίῳ δὲ παρει‐ κάζεται διὰ τὸ ἄνωθεν καὶ ἐξ οὐρανοῦ νοεῖσθαι καὶ λέγεσθαι. Βαπτισθὲν δὲ τὸ ζῶν ὀρνίθιον ἐν τῷ αἵματι τοῦ τεθνεῶτος</w:t>
      </w:r>
    </w:p>
    <w:p>
      <w:r>
        <w:rPr>
          <w:rFonts w:ascii="Courier New" w:hAnsi="Courier New"/>
          <w:color w:val="555555"/>
          <w:sz w:val="20"/>
        </w:rPr>
        <w:t>[5]</w:t>
      </w:r>
    </w:p>
    <w:p>
      <w:r>
        <w:rPr>
          <w:rFonts w:ascii="Gentium Plus" w:hAnsi="Gentium Plus"/>
          <w:sz w:val="24"/>
        </w:rPr>
        <w:t>ἀνεῖτο λοιπόν· ἐν γὰρ τῷ σταυρωθέντι καὶ ἀποθανόντι ναῷ ὁ ζῶν καὶ θεῖος ἦν λόγος, κοινωνὸς ὡς ἄνθρωπος τοῦ πά‐ θους καὶ ἀπαθὴς ὡς θεός.</w:t>
      </w:r>
    </w:p>
    <w:p>
      <w:r>
        <w:rPr>
          <w:rFonts w:ascii="Courier New" w:hAnsi="Courier New"/>
          <w:color w:val="555555"/>
          <w:sz w:val="20"/>
        </w:rPr>
        <w:t>[2]</w:t>
      </w:r>
    </w:p>
    <w:p>
      <w:r>
        <w:rPr>
          <w:rFonts w:ascii="Gentium Plus" w:hAnsi="Gentium Plus"/>
          <w:sz w:val="24"/>
        </w:rPr>
        <w:t>Διὰ τοῦ ἐφ’ ὕδατι ζῶντι, ἐν ᾧ τὸ ξύλον καὶ τὸ ὕσσωπον καὶ τὸ κόκκινον ἐβάπτετο, τὸ διὰ τοῦ ξύλου ἔναιμον πάθος</w:t>
      </w:r>
    </w:p>
    <w:p>
      <w:r>
        <w:rPr>
          <w:rFonts w:ascii="Courier New" w:hAnsi="Courier New"/>
          <w:color w:val="555555"/>
          <w:sz w:val="20"/>
        </w:rPr>
        <w:t>[5]</w:t>
      </w:r>
    </w:p>
    <w:p>
      <w:r>
        <w:rPr>
          <w:rFonts w:ascii="Gentium Plus" w:hAnsi="Gentium Plus"/>
          <w:sz w:val="24"/>
        </w:rPr>
        <w:t>νως περὶ λέπρας ἡ ὑπόθεσις ἦν τοῦ καθαρισμοῦ, ἀλλὰ περὶ ἀφέσεως ἁμαρτιῶν, ἵνα νοηθῇ καὶ ἡ λέπρα παραβολὴ τῆς ἁμαρτίας καὶ τὰ θυόμενα παραβολὴ τοῦ μέλλοντος θύεσθαι ὑπὲρ ἁμαρτιῶν.</w:t>
      </w:r>
    </w:p>
    <w:p>
      <w:r>
        <w:rPr>
          <w:rFonts w:ascii="Courier New" w:hAnsi="Courier New"/>
          <w:color w:val="555555"/>
          <w:sz w:val="20"/>
        </w:rPr>
        <w:t>[3]</w:t>
      </w:r>
    </w:p>
    <w:p>
      <w:r>
        <w:rPr>
          <w:rFonts w:ascii="Gentium Plus" w:hAnsi="Gentium Plus"/>
          <w:sz w:val="24"/>
        </w:rPr>
        <w:t>Διὰ τοῦτο ἀκολούθως βάπτεσθαι ἐκέλευσεν ἅμα τὸ κόκ‐ κινον εἰς τὸ ὕδωρ, τὴν οὐκέτι τὰ φυσικὰ ἔχουσαν σάρκα προ‐ φητεύων. Διά τοι τοῦτο καὶ δύο ὀρνίθια· ἓν μὲν θυόμενον ἐφ’ ὕδατι, καὶ ἓν βαπτιζόμενον εἰς τὸ αἷμα καὶ εἰς τὸ ὕδωρ</w:t>
      </w:r>
    </w:p>
    <w:p>
      <w:r>
        <w:rPr>
          <w:rFonts w:ascii="Courier New" w:hAnsi="Courier New"/>
          <w:color w:val="555555"/>
          <w:sz w:val="20"/>
        </w:rPr>
        <w:t>[5]</w:t>
      </w:r>
    </w:p>
    <w:p>
      <w:r>
        <w:rPr>
          <w:rFonts w:ascii="Gentium Plus" w:hAnsi="Gentium Plus"/>
          <w:sz w:val="24"/>
        </w:rPr>
        <w:t>καὶ ἐξαποστελλόμενον, καθάπερ εἴρηται καὶ ἐπὶ τῶν τράγων.</w:t>
      </w:r>
    </w:p>
    <w:p>
      <w:r>
        <w:rPr>
          <w:rFonts w:ascii="Courier New" w:hAnsi="Courier New"/>
          <w:color w:val="555555"/>
          <w:sz w:val="20"/>
        </w:rPr>
        <w:t>[4]</w:t>
      </w:r>
    </w:p>
    <w:p>
      <w:r>
        <w:rPr>
          <w:rFonts w:ascii="Gentium Plus" w:hAnsi="Gentium Plus"/>
          <w:sz w:val="24"/>
        </w:rPr>
        <w:t>Ὁ τῆς ἀποπομπῆς τράγος τὸν τύπον τοῦ τὰς τῶν ἀνθρώ‐ πων ἁμαρτίας ἀναλαμβάνοντος ἐξετέλει. Οἱ δὲ δύο τὴν μίαν περιεῖχον τοῦ ἐνανθρωπήσαντος θεοῦ οἰκονομίαν· ἐτραυμα‐ τίσθη γὰρ διὰ τὰς ἀνομίας ἡμῶν, καὶ αὐτὸς ἁμαρτίας πολλῶν</w:t>
      </w:r>
    </w:p>
    <w:p>
      <w:r>
        <w:rPr>
          <w:rFonts w:ascii="Courier New" w:hAnsi="Courier New"/>
          <w:color w:val="555555"/>
          <w:sz w:val="20"/>
        </w:rPr>
        <w:t>[5]</w:t>
      </w:r>
    </w:p>
    <w:p>
      <w:r>
        <w:rPr>
          <w:rFonts w:ascii="Gentium Plus" w:hAnsi="Gentium Plus"/>
          <w:sz w:val="24"/>
        </w:rPr>
        <w:t>ἀνήνεγκε, καὶ διὰ τὰς ἀνομίας αὐτῶν παρεδόθη.</w:t>
      </w:r>
    </w:p>
    <w:p>
      <w:r>
        <w:rPr>
          <w:rFonts w:ascii="Courier New" w:hAnsi="Courier New"/>
          <w:color w:val="555555"/>
          <w:sz w:val="20"/>
        </w:rPr>
        <w:t>[5]</w:t>
      </w:r>
    </w:p>
    <w:p>
      <w:r>
        <w:rPr>
          <w:rFonts w:ascii="Gentium Plus" w:hAnsi="Gentium Plus"/>
          <w:sz w:val="24"/>
        </w:rPr>
        <w:t>Καὶ τὸ μὴ κεῖσθαι δὲ ἐπὶ τῆς ἑβδόμης ἡμέρας κατ’ ἰσό‐ τητα τῶν ἄλλων ἡμερῶν τὸ „Καὶ ἐγένετο ἑσπέρα καὶ ἐγένετο πρωῒ“ σύμβολόν ἐστιν ἐναργὲς τῆς ἐν αὐτῇ γενομένης συντε‐ λείας πρὸ τῆς συμπληρώσεως αὐτῆς, ὥς φασιν οἱ πατέρες,</w:t>
      </w:r>
    </w:p>
    <w:p>
      <w:r>
        <w:rPr>
          <w:rFonts w:ascii="Courier New" w:hAnsi="Courier New"/>
          <w:color w:val="555555"/>
          <w:sz w:val="20"/>
        </w:rPr>
        <w:t>[5]</w:t>
      </w:r>
    </w:p>
    <w:p>
      <w:r>
        <w:rPr>
          <w:rFonts w:ascii="Gentium Plus" w:hAnsi="Gentium Plus"/>
          <w:sz w:val="24"/>
        </w:rPr>
        <w:t>καὶ μάλιστα οἱ περὶ τὸν ἱερὸν Κλήμεντα καὶ Εἰρηναῖον καὶ</w:t>
      </w:r>
    </w:p>
    <w:p>
      <w:r>
        <w:rPr>
          <w:rFonts w:ascii="Courier New" w:hAnsi="Courier New"/>
          <w:color w:val="555555"/>
          <w:sz w:val="20"/>
        </w:rPr>
        <w:t>[10]</w:t>
      </w:r>
    </w:p>
    <w:p>
      <w:r>
        <w:rPr>
          <w:rFonts w:ascii="Gentium Plus" w:hAnsi="Gentium Plus"/>
          <w:sz w:val="24"/>
        </w:rPr>
        <w:t>καί, πολλὰ διεξελθὼν περὶ τοῦ ἕκτου ἀριθμοῦ, πάντα φησὶ τὰ ὑπὸ θεοῦ δημιουργηθέντα ἑξαχῶς διαιρεῖσθαι, τουτέστιν εἰς νοερὰ καὶ ἀθάνατα, οἷοί εἰσιν οἱ ἄγγελοι, καὶ εἰς λογικὰ θνητά, οἵτινές εἰσιν οἱ ἄνθρωποι, καὶ εἰς αἰσθητικὰ ἄλογα, οἷά εἰσι τὰ κτήνη καὶ τὰ πετεινὰ καὶ οἱ ἰχθύες, καὶ εἰς ἐκπο‐</w:t>
      </w:r>
    </w:p>
    <w:p>
      <w:r>
        <w:rPr>
          <w:rFonts w:ascii="Courier New" w:hAnsi="Courier New"/>
          <w:color w:val="555555"/>
          <w:sz w:val="20"/>
        </w:rPr>
        <w:t>[15]</w:t>
      </w:r>
    </w:p>
    <w:p>
      <w:r>
        <w:rPr>
          <w:rFonts w:ascii="Gentium Plus" w:hAnsi="Gentium Plus"/>
          <w:sz w:val="24"/>
        </w:rPr>
        <w:t>ρευτὰ μεταστατικὰ ἀναίσθητα, οἷά εἰσιν οἱ ἄνεμοι καὶ αἱ νε‐ φέλαι καὶ τὰ ὕδατα καὶ οἱ ἀστέρες, καὶ εἰς αὐξητικὰ ἀμετά‐ στατα, οἷά εἰσι τὰ δένδρα, καὶ εἰς ἀναίσθητα ἀμετάστατα, οἷά εἰσι τὰ ὄρη καὶ ἡ γῆ καὶ τὰ τοιαῦτα. Πάντα γὰρ κτίσματα τοῦ θεοῦ ἐν οὐρανῷ καὶ ἐπὶ γῆς μιᾶς τινος τούτων τῶν ἓξ δια‐</w:t>
      </w:r>
    </w:p>
    <w:p>
      <w:r>
        <w:rPr>
          <w:rFonts w:ascii="Courier New" w:hAnsi="Courier New"/>
          <w:color w:val="555555"/>
          <w:sz w:val="20"/>
        </w:rPr>
        <w:t>[20]</w:t>
      </w:r>
    </w:p>
    <w:p>
      <w:r>
        <w:rPr>
          <w:rFonts w:ascii="Gentium Plus" w:hAnsi="Gentium Plus"/>
          <w:sz w:val="24"/>
        </w:rPr>
        <w:t>στολῶν ἅπτεται καὶ ἐν αὐταῖς περιώρισται.</w:t>
      </w:r>
    </w:p>
    <w:p>
      <w:r>
        <w:rPr>
          <w:rFonts w:ascii="Courier New" w:hAnsi="Courier New"/>
          <w:color w:val="555555"/>
          <w:sz w:val="20"/>
        </w:rPr>
        <w:t>[6]</w:t>
      </w:r>
    </w:p>
    <w:p>
      <w:r>
        <w:rPr>
          <w:rFonts w:ascii="Gentium Plus" w:hAnsi="Gentium Plus"/>
          <w:sz w:val="24"/>
        </w:rPr>
        <w:t>Εἰ σύνδρομον ἔχει θεὸς τῇ φύσει τὴν θέλησιν ὥσπερ καὶ τὴν ἐνέργειαν (ἀεὶ γὰρ φύσει θελητικὸς καὶ ἐνεργητικὸς ὑπάρχει ὁ θεός), οὐδὲν τῶν θελητικῶν τῆς αὐτῆς αὐτῷ φυσικῆς ἔσται θελήσεως καὶ ἐνεργείας, ἐπεὶ καὶ φύσεως ἔσται πάντως τῆς</w:t>
      </w:r>
    </w:p>
    <w:p>
      <w:r>
        <w:rPr>
          <w:rFonts w:ascii="Courier New" w:hAnsi="Courier New"/>
          <w:color w:val="555555"/>
          <w:sz w:val="20"/>
        </w:rPr>
        <w:t>[5]</w:t>
      </w:r>
    </w:p>
    <w:p>
      <w:r>
        <w:rPr>
          <w:rFonts w:ascii="Gentium Plus" w:hAnsi="Gentium Plus"/>
          <w:sz w:val="24"/>
        </w:rPr>
        <w:t>αὐτῆς. Κατ’ ἐνέργειαν δὲ καὶ φύσιν οὐκ οἶδεν ὁ θεὸς περι‐ γραφήν.</w:t>
      </w:r>
    </w:p>
    <w:p>
      <w:r>
        <w:rPr>
          <w:rFonts w:ascii="Courier New" w:hAnsi="Courier New"/>
          <w:color w:val="555555"/>
          <w:sz w:val="20"/>
        </w:rPr>
        <w:t>[7]</w:t>
      </w:r>
    </w:p>
    <w:p>
      <w:r>
        <w:rPr>
          <w:rFonts w:ascii="Gentium Plus" w:hAnsi="Gentium Plus"/>
          <w:sz w:val="24"/>
        </w:rPr>
        <w:t>Ἐνέργεια πάσης οὐσίας ἐστὶν ἡ προσφυὴς αὐτῇ ποιότης. Ἐνέργεια φυσική τε καὶ συστατική ἐστιν ἡ ὁριστικὴ δια‐ φορὰ τῆς τοῦ δηλουμένου πράγματος φύσεως, ἧς χωρὶς κατ’ οὐδὲν οὐδὲν παντελῶς ἔχει τὴν τοῦ πῶς εἶναι διάγνωσιν.</w:t>
      </w:r>
    </w:p>
    <w:p>
      <w:r>
        <w:rPr>
          <w:rFonts w:ascii="Courier New" w:hAnsi="Courier New"/>
          <w:color w:val="555555"/>
          <w:sz w:val="20"/>
        </w:rPr>
        <w:t>[5]</w:t>
      </w:r>
    </w:p>
    <w:p>
      <w:r>
        <w:rPr>
          <w:rFonts w:ascii="Gentium Plus" w:hAnsi="Gentium Plus"/>
          <w:sz w:val="24"/>
        </w:rPr>
        <w:t>Ἐνέργεια φυσική ἐστιν ἡ οὐσιώδης καὶ συστατικὴ πάσης οὐσίας ποιότης, ἧς τὸ ἐστερημένον καὶ πάσης οὐσίας ἐστέ‐</w:t>
      </w:r>
    </w:p>
    <w:p>
      <w:r>
        <w:rPr>
          <w:rFonts w:ascii="Courier New" w:hAnsi="Courier New"/>
          <w:color w:val="555555"/>
          <w:sz w:val="20"/>
        </w:rPr>
        <w:t>[10]</w:t>
      </w:r>
    </w:p>
    <w:p>
      <w:r>
        <w:rPr>
          <w:rFonts w:ascii="Gentium Plus" w:hAnsi="Gentium Plus"/>
          <w:sz w:val="24"/>
        </w:rPr>
        <w:t>λοίωσιν. Ἐνέργεια φυσική ἐστιν ἡ ἀμιγῆ τὴν οὐσιώδη πάντων πρὸς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