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Λεύκιππος ὁ Ἀτομιστής</w:t>
      </w:r>
      <w:r>
        <w:br/>
      </w:r>
      <w:r>
        <w:rPr>
          <w:i/>
          <w:color w:val="666666"/>
          <w:sz w:val="28"/>
        </w:rPr>
        <w:t>by Leucippus the Atomist</w:t>
      </w:r>
    </w:p>
    <w:p/>
    <w:p>
      <w:r>
        <w:rPr>
          <w:rFonts w:ascii="Courier New" w:hAnsi="Courier New"/>
          <w:color w:val="555555"/>
          <w:sz w:val="20"/>
        </w:rPr>
        <w:t>[tit,1-1a]</w:t>
      </w:r>
    </w:p>
    <w:p>
      <w:r>
        <w:rPr>
          <w:rFonts w:ascii="Gentium Plus" w:hAnsi="Gentium Plus"/>
          <w:sz w:val="24"/>
        </w:rPr>
        <w:t>ΛΕΥΚΙΠΠΟΥ ΜΕΓΑΣ ΔΙΑΚΟΣΜΟΣ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ACHILL. Isag. 1, 13 τοὺς ἀστέρας δὲ ζῶια εἶναι οὔτε Ἀναξαγόραι [59 A 79] οὔτε Δημοκρίτωι ἐν τῶι Μεγάλωι διακόσμωι δοκεῖ.</w:t>
      </w:r>
    </w:p>
    <w:p>
      <w:r>
        <w:rPr>
          <w:rFonts w:ascii="Courier New" w:hAnsi="Courier New"/>
          <w:color w:val="555555"/>
          <w:sz w:val="20"/>
        </w:rPr>
        <w:t>[1a (1n)]</w:t>
      </w:r>
    </w:p>
    <w:p>
      <w:r>
        <w:rPr>
          <w:rFonts w:ascii="Gentium Plus" w:hAnsi="Gentium Plus"/>
          <w:sz w:val="24"/>
        </w:rPr>
        <w:t>PAP. HERCUL. 1788 (Coll. alt. vol. VIII) fr. 1 (Crönert Kolotes</w:t>
      </w:r>
    </w:p>
    <w:p>
      <w:r>
        <w:rPr>
          <w:rFonts w:ascii="Courier New" w:hAnsi="Courier New"/>
          <w:color w:val="555555"/>
          <w:sz w:val="20"/>
        </w:rPr>
        <w:t>[2n]</w:t>
      </w:r>
    </w:p>
    <w:p>
      <w:r>
        <w:rPr>
          <w:rFonts w:ascii="Gentium Plus" w:hAnsi="Gentium Plus"/>
          <w:sz w:val="24"/>
        </w:rPr>
        <w:t>u. Mened. 1 S. 147):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γ〉ράφων 〈ὅτι ......... τὰ〉 αὐτὰ πρότε〈ρον εἴρηται ἐν〉 τῶι Με〈γ〉άλω〈ι διακόσμω〉ι, ὅν φασιν εἶνα〈ι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Λευκίππου.〉 κἀπ〈ὶ〉 το〈σ〉οῦτο τὸ τῶν ἄλλ〉ων 〈ἰ〉διοποιούμενος ἐλέγχετ’ ο〉ὐ μόνον ἐν τῶ〈ι Μικρῶι δι〉ακόσμωι τιθεί〈ς</w:t>
      </w:r>
    </w:p>
    <w:p>
      <w:r>
        <w:rPr>
          <w:rFonts w:ascii="Courier New" w:hAnsi="Courier New"/>
          <w:color w:val="555555"/>
          <w:sz w:val="20"/>
        </w:rPr>
        <w:t>[2 (tit)]</w:t>
      </w:r>
    </w:p>
    <w:p>
      <w:r>
        <w:rPr>
          <w:rFonts w:ascii="Gentium Plus" w:hAnsi="Gentium Plus"/>
          <w:sz w:val="24"/>
        </w:rPr>
        <w:t>ΠΕΡΙ ΝΟΥ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AËT. I 25, 4 (D. 321) Λεύκιππος πάντα κατ’ ἀνάγκην, τὴν δ’ αὐτὴν ὑπάρχειν εἱμαρμένην. λέγει γὰρ ἐν τῶι Περὶ νοῦ· οὐδὲν χρῆμα μάτην γίνεται, ἀλλὰ πάντα ἐκ λόγου τε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