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De Atticis nominibus (= Περὶ Ἀττικῶν ὀνομάτων)</w:t>
      </w:r>
      <w:r>
        <w:br/>
      </w:r>
      <w:r>
        <w:rPr>
          <w:i/>
          <w:color w:val="666666"/>
          <w:sz w:val="40"/>
        </w:rPr>
        <w:t>On Attic Names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Λέξις τῶν Ἀττικῶν ὀνομάτων</w:t>
      </w:r>
      <w:r>
        <w:br/>
      </w:r>
      <w:r>
        <w:rPr>
          <w:i/>
          <w:color w:val="666666"/>
          <w:sz w:val="28"/>
        </w:rPr>
        <w:t>by Lexicon of Attic Names</w:t>
      </w:r>
    </w:p>
    <w:p/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προσίασι καὶ προίασιν. εἶμι. τὸ πληθυντικόν, ἴμεν ἴτε ἴσι καὶ ἴασι. ἵημι τὸ πέμπω, ὅπερ μετὰ προθέσεως ἀεὶ γράφεται· ἵεμαι δὲ τὸ ὁρμῶ.</w:t>
      </w:r>
    </w:p>
    <w:p>
      <w:r>
        <w:rPr>
          <w:rFonts w:ascii="Courier New" w:hAnsi="Courier New"/>
          <w:color w:val="555555"/>
          <w:sz w:val="20"/>
        </w:rPr>
        <w:t>[2]</w:t>
      </w:r>
    </w:p>
    <w:p>
      <w:r>
        <w:rPr>
          <w:rFonts w:ascii="Gentium Plus" w:hAnsi="Gentium Plus"/>
          <w:sz w:val="24"/>
        </w:rPr>
        <w:t>ἰάσιμος. ὁ δυνάμενος θεραπευθῆναι.</w:t>
      </w:r>
    </w:p>
    <w:p>
      <w:r>
        <w:rPr>
          <w:rFonts w:ascii="Courier New" w:hAnsi="Courier New"/>
          <w:color w:val="555555"/>
          <w:sz w:val="20"/>
        </w:rPr>
        <w:t>[3]</w:t>
      </w:r>
    </w:p>
    <w:p>
      <w:r>
        <w:rPr>
          <w:rFonts w:ascii="Gentium Plus" w:hAnsi="Gentium Plus"/>
          <w:sz w:val="24"/>
        </w:rPr>
        <w:t>ἱερομηνία. ἡ ἱερὰ ἡμέρα τοῦ μηνός, τινὰς γὰρ ἡμέρας τοῦ μηνὸς ἱερὰς εἶχον Ἕλληνες.</w:t>
      </w:r>
    </w:p>
    <w:p>
      <w:r>
        <w:rPr>
          <w:rFonts w:ascii="Courier New" w:hAnsi="Courier New"/>
          <w:color w:val="555555"/>
          <w:sz w:val="20"/>
        </w:rPr>
        <w:t>[4]</w:t>
      </w:r>
    </w:p>
    <w:p>
      <w:r>
        <w:rPr>
          <w:rFonts w:ascii="Gentium Plus" w:hAnsi="Gentium Plus"/>
          <w:sz w:val="24"/>
        </w:rPr>
        <w:t>λάπτω. τὸ ἀναρροφῶ· κυρίως ἐπὶ κυνός.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τὸ ληρεῖν τοῦ φλυαρεῖν διαφέρει· ληρεῖν μὲν γὰρ λέγεται, ὅταν τις ὑπὸ μέθης ἢ ὑπὸ γήρως λέγει τινὰ ῥήματα ἀνάρμοστα, ὡς τὸ κοινῶς λεγόμενον παραλαλεῖν, ὅπερ λέγεται καὶ παραληρεῖν· φλυαρεῖν δὲ τὸ περισσὰ καὶ μάταια λέγειν ἢ τὸ ἀδολεσχεῖν.</w:t>
      </w:r>
    </w:p>
    <w:p>
      <w:r>
        <w:rPr>
          <w:rFonts w:ascii="Courier New" w:hAnsi="Courier New"/>
          <w:color w:val="555555"/>
          <w:sz w:val="20"/>
        </w:rPr>
        <w:t>[6]</w:t>
      </w:r>
    </w:p>
    <w:p>
      <w:r>
        <w:rPr>
          <w:rFonts w:ascii="Gentium Plus" w:hAnsi="Gentium Plus"/>
          <w:sz w:val="24"/>
        </w:rPr>
        <w:t>λέβης. τὸ κοινῶς χερνίβιν.</w:t>
      </w:r>
    </w:p>
    <w:p>
      <w:r>
        <w:rPr>
          <w:rFonts w:ascii="Courier New" w:hAnsi="Courier New"/>
          <w:color w:val="555555"/>
          <w:sz w:val="20"/>
        </w:rPr>
        <w:t>[7]</w:t>
      </w:r>
    </w:p>
    <w:p>
      <w:r>
        <w:rPr>
          <w:rFonts w:ascii="Gentium Plus" w:hAnsi="Gentium Plus"/>
          <w:sz w:val="24"/>
        </w:rPr>
        <w:t>λαγχάνω. ἀττικῇ τὸ κληροῦμαι· μεταλαγχάνω δὲ τὸ ἑξῆς.</w:t>
      </w:r>
    </w:p>
    <w:p>
      <w:r>
        <w:rPr>
          <w:rFonts w:ascii="Courier New" w:hAnsi="Courier New"/>
          <w:color w:val="555555"/>
          <w:sz w:val="20"/>
        </w:rPr>
        <w:t>[8]</w:t>
      </w:r>
    </w:p>
    <w:p>
      <w:r>
        <w:rPr>
          <w:rFonts w:ascii="Gentium Plus" w:hAnsi="Gentium Plus"/>
          <w:sz w:val="24"/>
        </w:rPr>
        <w:t>λογεύς. ὁ λογογράφος.</w:t>
      </w:r>
    </w:p>
    <w:p>
      <w:r>
        <w:rPr>
          <w:rFonts w:ascii="Courier New" w:hAnsi="Courier New"/>
          <w:color w:val="555555"/>
          <w:sz w:val="20"/>
        </w:rPr>
        <w:t>[9]</w:t>
      </w:r>
    </w:p>
    <w:p>
      <w:r>
        <w:rPr>
          <w:rFonts w:ascii="Gentium Plus" w:hAnsi="Gentium Plus"/>
          <w:sz w:val="24"/>
        </w:rPr>
        <w:t>Λυβύη καὶ ὁ ἀπ’ ἐκείνης λύβης, Μαγνησία καὶ μάγνης, Φρυγία καὶ φρῦξ, Θρᾴκη καὶ θρᾷξ, Καρία καὶ κάρης ... (litterae quae legi iam non possunt).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προσλιπαρῶ. λέγεται τὸ μετὰ πολλῆς βίας καὶ δακρύων ἱκετεύω, λιπαρῶς δὲ ἐπίρρημα ἀντὶ τοῦ βίαιον καὶ ἐπιμόνως.</w:t>
      </w:r>
    </w:p>
    <w:p>
      <w:r>
        <w:rPr>
          <w:rFonts w:ascii="Courier New" w:hAnsi="Courier New"/>
          <w:color w:val="555555"/>
          <w:sz w:val="20"/>
        </w:rPr>
        <w:t>[11]</w:t>
      </w:r>
    </w:p>
    <w:p>
      <w:r>
        <w:rPr>
          <w:rFonts w:ascii="Gentium Plus" w:hAnsi="Gentium Plus"/>
          <w:sz w:val="24"/>
        </w:rPr>
        <w:t>παροιμία λεγομένη· ὅταν διὰ πταίσματος πταῖσμα σκιάζωμεν, διὰ μείζονος τοὔλαττον· ὁμοίως καὶ πάτταλος παττάλῳ ἐκκρούεται, καὶ τὸ δεινὸν ὑφ’ ἑτέρου καλύπτεται.</w:t>
      </w:r>
    </w:p>
    <w:p>
      <w:r>
        <w:rPr>
          <w:rFonts w:ascii="Courier New" w:hAnsi="Courier New"/>
          <w:color w:val="555555"/>
          <w:sz w:val="20"/>
        </w:rPr>
        <w:t>[12]</w:t>
      </w:r>
    </w:p>
    <w:p>
      <w:r>
        <w:rPr>
          <w:rFonts w:ascii="Gentium Plus" w:hAnsi="Gentium Plus"/>
          <w:sz w:val="24"/>
        </w:rPr>
        <w:t>γραμμὴ καὶ βαλβὶς καὶ ἀφετηρία τὸ αὐτὸ σημαίνουσι.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